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75BF" w14:textId="77777777" w:rsidR="00B53BFD" w:rsidRPr="004D2934" w:rsidRDefault="00B53BFD" w:rsidP="00AC75B7">
      <w:pPr>
        <w:pStyle w:val="Prrafodelista"/>
        <w:jc w:val="center"/>
        <w:rPr>
          <w:rFonts w:ascii="Corbel" w:hAnsi="Corbel"/>
          <w:b/>
          <w:bCs/>
          <w:color w:val="0A2F41" w:themeColor="accent1" w:themeShade="80"/>
          <w:sz w:val="28"/>
          <w:szCs w:val="28"/>
          <w:lang w:val="en-US"/>
        </w:rPr>
      </w:pPr>
    </w:p>
    <w:p w14:paraId="10D07B07" w14:textId="77777777" w:rsidR="00B53BFD" w:rsidRPr="004D2934" w:rsidRDefault="00B53BFD" w:rsidP="00AC75B7">
      <w:pPr>
        <w:pStyle w:val="Prrafodelista"/>
        <w:jc w:val="center"/>
        <w:rPr>
          <w:rFonts w:ascii="Corbel" w:hAnsi="Corbel"/>
          <w:b/>
          <w:bCs/>
          <w:color w:val="0A2F41" w:themeColor="accent1" w:themeShade="80"/>
          <w:sz w:val="28"/>
          <w:szCs w:val="28"/>
          <w:lang w:val="en-US"/>
        </w:rPr>
      </w:pPr>
    </w:p>
    <w:p w14:paraId="5BCFB2B6" w14:textId="77777777" w:rsidR="00B53BFD" w:rsidRPr="004D2934" w:rsidRDefault="00B53BFD" w:rsidP="00AC75B7">
      <w:pPr>
        <w:pStyle w:val="Prrafodelista"/>
        <w:jc w:val="center"/>
        <w:rPr>
          <w:rFonts w:ascii="Corbel" w:hAnsi="Corbel"/>
          <w:b/>
          <w:bCs/>
          <w:color w:val="0A2F41" w:themeColor="accent1" w:themeShade="80"/>
          <w:sz w:val="28"/>
          <w:szCs w:val="28"/>
          <w:lang w:val="en-US"/>
        </w:rPr>
      </w:pPr>
    </w:p>
    <w:p w14:paraId="2E558E44" w14:textId="0BB61F1E" w:rsidR="00966798" w:rsidRPr="004D2934" w:rsidRDefault="00AC75B7" w:rsidP="00AC75B7">
      <w:pPr>
        <w:pStyle w:val="Prrafodelista"/>
        <w:jc w:val="center"/>
        <w:rPr>
          <w:rFonts w:ascii="Corbel" w:hAnsi="Corbel"/>
          <w:b/>
          <w:bCs/>
          <w:color w:val="0A2F41" w:themeColor="accent1" w:themeShade="80"/>
          <w:sz w:val="28"/>
          <w:szCs w:val="28"/>
          <w:lang w:val="en-US"/>
        </w:rPr>
      </w:pPr>
      <w:r w:rsidRPr="004D2934">
        <w:rPr>
          <w:rFonts w:ascii="Corbel" w:hAnsi="Corbel"/>
          <w:b/>
          <w:bCs/>
          <w:color w:val="0A2F41" w:themeColor="accent1" w:themeShade="80"/>
          <w:sz w:val="28"/>
          <w:szCs w:val="28"/>
          <w:lang w:val="en-US"/>
        </w:rPr>
        <w:t>S</w:t>
      </w:r>
      <w:r w:rsidR="00966798" w:rsidRPr="004D2934">
        <w:rPr>
          <w:rFonts w:ascii="Corbel" w:hAnsi="Corbel"/>
          <w:b/>
          <w:bCs/>
          <w:color w:val="0A2F41" w:themeColor="accent1" w:themeShade="80"/>
          <w:sz w:val="28"/>
          <w:szCs w:val="28"/>
          <w:lang w:val="en-US"/>
        </w:rPr>
        <w:t xml:space="preserve">ubmission </w:t>
      </w:r>
      <w:r w:rsidR="0067252C" w:rsidRPr="004D2934">
        <w:rPr>
          <w:rFonts w:ascii="Corbel" w:hAnsi="Corbel"/>
          <w:b/>
          <w:bCs/>
          <w:color w:val="0A2F41" w:themeColor="accent1" w:themeShade="80"/>
          <w:sz w:val="28"/>
          <w:szCs w:val="28"/>
          <w:lang w:val="en-US"/>
        </w:rPr>
        <w:t xml:space="preserve">by </w:t>
      </w:r>
      <w:r w:rsidR="00ED349F" w:rsidRPr="004D2934">
        <w:rPr>
          <w:rFonts w:ascii="Corbel" w:hAnsi="Corbel"/>
          <w:b/>
          <w:bCs/>
          <w:color w:val="0A2F41" w:themeColor="accent1" w:themeShade="80"/>
          <w:sz w:val="28"/>
          <w:szCs w:val="28"/>
          <w:lang w:val="en-US"/>
        </w:rPr>
        <w:t>Chile</w:t>
      </w:r>
      <w:r w:rsidR="0067252C" w:rsidRPr="004D2934">
        <w:rPr>
          <w:rFonts w:ascii="Corbel" w:hAnsi="Corbel"/>
          <w:b/>
          <w:bCs/>
          <w:color w:val="0A2F41" w:themeColor="accent1" w:themeShade="80"/>
          <w:sz w:val="28"/>
          <w:szCs w:val="28"/>
          <w:lang w:val="en-US"/>
        </w:rPr>
        <w:t xml:space="preserve"> on behalf of the Independent Association of Latin</w:t>
      </w:r>
      <w:r w:rsidR="00832032" w:rsidRPr="004D2934">
        <w:rPr>
          <w:rFonts w:ascii="Corbel" w:hAnsi="Corbel"/>
          <w:b/>
          <w:bCs/>
          <w:color w:val="0A2F41" w:themeColor="accent1" w:themeShade="80"/>
          <w:sz w:val="28"/>
          <w:szCs w:val="28"/>
          <w:lang w:val="en-US"/>
        </w:rPr>
        <w:t xml:space="preserve"> </w:t>
      </w:r>
      <w:r w:rsidR="0067252C" w:rsidRPr="004D2934">
        <w:rPr>
          <w:rFonts w:ascii="Corbel" w:hAnsi="Corbel"/>
          <w:b/>
          <w:bCs/>
          <w:color w:val="0A2F41" w:themeColor="accent1" w:themeShade="80"/>
          <w:sz w:val="28"/>
          <w:szCs w:val="28"/>
          <w:lang w:val="en-US"/>
        </w:rPr>
        <w:t xml:space="preserve">America and the Caribbean </w:t>
      </w:r>
      <w:r w:rsidR="00966798" w:rsidRPr="004D2934">
        <w:rPr>
          <w:rFonts w:ascii="Corbel" w:hAnsi="Corbel"/>
          <w:b/>
          <w:bCs/>
          <w:color w:val="0A2F41" w:themeColor="accent1" w:themeShade="80"/>
          <w:sz w:val="28"/>
          <w:szCs w:val="28"/>
          <w:lang w:val="en-US"/>
        </w:rPr>
        <w:t xml:space="preserve">on the </w:t>
      </w:r>
      <w:r w:rsidRPr="004D2934">
        <w:rPr>
          <w:rFonts w:ascii="Corbel" w:hAnsi="Corbel"/>
          <w:b/>
          <w:bCs/>
          <w:color w:val="0A2F41" w:themeColor="accent1" w:themeShade="80"/>
          <w:sz w:val="28"/>
          <w:szCs w:val="28"/>
          <w:lang w:val="en-US"/>
        </w:rPr>
        <w:t>t</w:t>
      </w:r>
      <w:r w:rsidR="006D73AD" w:rsidRPr="004D2934">
        <w:rPr>
          <w:rFonts w:ascii="Corbel" w:hAnsi="Corbel"/>
          <w:b/>
          <w:bCs/>
          <w:color w:val="0A2F41" w:themeColor="accent1" w:themeShade="80"/>
          <w:sz w:val="28"/>
          <w:szCs w:val="28"/>
          <w:lang w:val="en-US"/>
        </w:rPr>
        <w:t>opics to be discussed</w:t>
      </w:r>
      <w:r w:rsidR="00832032" w:rsidRPr="004D2934">
        <w:rPr>
          <w:rFonts w:ascii="Corbel" w:hAnsi="Corbel"/>
          <w:b/>
          <w:bCs/>
          <w:color w:val="0A2F41" w:themeColor="accent1" w:themeShade="80"/>
          <w:sz w:val="28"/>
          <w:szCs w:val="28"/>
          <w:lang w:val="en-US"/>
        </w:rPr>
        <w:t xml:space="preserve"> </w:t>
      </w:r>
      <w:r w:rsidR="006D73AD" w:rsidRPr="004D2934">
        <w:rPr>
          <w:rFonts w:ascii="Corbel" w:hAnsi="Corbel"/>
          <w:b/>
          <w:bCs/>
          <w:color w:val="0A2F41" w:themeColor="accent1" w:themeShade="80"/>
          <w:sz w:val="28"/>
          <w:szCs w:val="28"/>
          <w:lang w:val="en-US"/>
        </w:rPr>
        <w:t xml:space="preserve">in the context </w:t>
      </w:r>
      <w:r w:rsidRPr="004D2934">
        <w:rPr>
          <w:rFonts w:ascii="Corbel" w:hAnsi="Corbel"/>
          <w:b/>
          <w:bCs/>
          <w:color w:val="0A2F41" w:themeColor="accent1" w:themeShade="80"/>
          <w:sz w:val="28"/>
          <w:szCs w:val="28"/>
          <w:lang w:val="en-US"/>
        </w:rPr>
        <w:t>of the</w:t>
      </w:r>
      <w:r w:rsidR="006D73AD" w:rsidRPr="004D2934">
        <w:rPr>
          <w:rFonts w:ascii="Corbel" w:hAnsi="Corbel"/>
          <w:b/>
          <w:bCs/>
          <w:color w:val="0A2F41" w:themeColor="accent1" w:themeShade="80"/>
          <w:sz w:val="28"/>
          <w:szCs w:val="28"/>
          <w:lang w:val="en-US"/>
        </w:rPr>
        <w:t xml:space="preserve"> Sharm el-Sheikh </w:t>
      </w:r>
      <w:r w:rsidRPr="004D2934">
        <w:rPr>
          <w:rFonts w:ascii="Corbel" w:hAnsi="Corbel"/>
          <w:b/>
          <w:bCs/>
          <w:color w:val="0A2F41" w:themeColor="accent1" w:themeShade="80"/>
          <w:sz w:val="28"/>
          <w:szCs w:val="28"/>
          <w:lang w:val="en-US"/>
        </w:rPr>
        <w:t>m</w:t>
      </w:r>
      <w:r w:rsidR="006D73AD" w:rsidRPr="004D2934">
        <w:rPr>
          <w:rFonts w:ascii="Corbel" w:hAnsi="Corbel"/>
          <w:b/>
          <w:bCs/>
          <w:color w:val="0A2F41" w:themeColor="accent1" w:themeShade="80"/>
          <w:sz w:val="28"/>
          <w:szCs w:val="28"/>
          <w:lang w:val="en-US"/>
        </w:rPr>
        <w:t xml:space="preserve">itigation </w:t>
      </w:r>
      <w:r w:rsidR="00B53BFD" w:rsidRPr="004D2934">
        <w:rPr>
          <w:rFonts w:ascii="Corbel" w:hAnsi="Corbel"/>
          <w:b/>
          <w:bCs/>
          <w:color w:val="0A2F41" w:themeColor="accent1" w:themeShade="80"/>
          <w:sz w:val="28"/>
          <w:szCs w:val="28"/>
          <w:lang w:val="en-US"/>
        </w:rPr>
        <w:t>ambition and</w:t>
      </w:r>
      <w:r w:rsidR="006D73AD" w:rsidRPr="004D2934">
        <w:rPr>
          <w:rFonts w:ascii="Corbel" w:hAnsi="Corbel"/>
          <w:b/>
          <w:bCs/>
          <w:color w:val="0A2F41" w:themeColor="accent1" w:themeShade="80"/>
          <w:sz w:val="28"/>
          <w:szCs w:val="28"/>
          <w:lang w:val="en-US"/>
        </w:rPr>
        <w:t xml:space="preserve"> </w:t>
      </w:r>
      <w:r w:rsidRPr="004D2934">
        <w:rPr>
          <w:rFonts w:ascii="Corbel" w:hAnsi="Corbel"/>
          <w:b/>
          <w:bCs/>
          <w:color w:val="0A2F41" w:themeColor="accent1" w:themeShade="80"/>
          <w:sz w:val="28"/>
          <w:szCs w:val="28"/>
          <w:lang w:val="en-US"/>
        </w:rPr>
        <w:t>i</w:t>
      </w:r>
      <w:r w:rsidR="006D73AD" w:rsidRPr="004D2934">
        <w:rPr>
          <w:rFonts w:ascii="Corbel" w:hAnsi="Corbel"/>
          <w:b/>
          <w:bCs/>
          <w:color w:val="0A2F41" w:themeColor="accent1" w:themeShade="80"/>
          <w:sz w:val="28"/>
          <w:szCs w:val="28"/>
          <w:lang w:val="en-US"/>
        </w:rPr>
        <w:t xml:space="preserve">mplementation </w:t>
      </w:r>
      <w:r w:rsidRPr="004D2934">
        <w:rPr>
          <w:rFonts w:ascii="Corbel" w:hAnsi="Corbel"/>
          <w:b/>
          <w:bCs/>
          <w:color w:val="0A2F41" w:themeColor="accent1" w:themeShade="80"/>
          <w:sz w:val="28"/>
          <w:szCs w:val="28"/>
          <w:lang w:val="en-US"/>
        </w:rPr>
        <w:t>w</w:t>
      </w:r>
      <w:r w:rsidR="006D73AD" w:rsidRPr="004D2934">
        <w:rPr>
          <w:rFonts w:ascii="Corbel" w:hAnsi="Corbel"/>
          <w:b/>
          <w:bCs/>
          <w:color w:val="0A2F41" w:themeColor="accent1" w:themeShade="80"/>
          <w:sz w:val="28"/>
          <w:szCs w:val="28"/>
          <w:lang w:val="en-US"/>
        </w:rPr>
        <w:t xml:space="preserve">ork </w:t>
      </w:r>
      <w:r w:rsidRPr="004D2934">
        <w:rPr>
          <w:rFonts w:ascii="Corbel" w:hAnsi="Corbel"/>
          <w:b/>
          <w:bCs/>
          <w:color w:val="0A2F41" w:themeColor="accent1" w:themeShade="80"/>
          <w:sz w:val="28"/>
          <w:szCs w:val="28"/>
          <w:lang w:val="en-US"/>
        </w:rPr>
        <w:t>p</w:t>
      </w:r>
      <w:r w:rsidR="006D73AD" w:rsidRPr="004D2934">
        <w:rPr>
          <w:rFonts w:ascii="Corbel" w:hAnsi="Corbel"/>
          <w:b/>
          <w:bCs/>
          <w:color w:val="0A2F41" w:themeColor="accent1" w:themeShade="80"/>
          <w:sz w:val="28"/>
          <w:szCs w:val="28"/>
          <w:lang w:val="en-US"/>
        </w:rPr>
        <w:t>rogramme</w:t>
      </w:r>
      <w:r w:rsidR="00E55607" w:rsidRPr="004D2934">
        <w:rPr>
          <w:rFonts w:ascii="Corbel" w:hAnsi="Corbel"/>
          <w:b/>
          <w:bCs/>
          <w:color w:val="0A2F41" w:themeColor="accent1" w:themeShade="80"/>
          <w:sz w:val="28"/>
          <w:szCs w:val="28"/>
          <w:lang w:val="en-US"/>
        </w:rPr>
        <w:t xml:space="preserve"> in</w:t>
      </w:r>
      <w:r w:rsidR="00330661" w:rsidRPr="004D2934">
        <w:rPr>
          <w:rFonts w:ascii="Corbel" w:hAnsi="Corbel"/>
          <w:b/>
          <w:bCs/>
          <w:color w:val="0A2F41" w:themeColor="accent1" w:themeShade="80"/>
          <w:sz w:val="28"/>
          <w:szCs w:val="28"/>
          <w:lang w:val="en-US"/>
        </w:rPr>
        <w:t xml:space="preserve"> </w:t>
      </w:r>
      <w:r w:rsidR="00E55607" w:rsidRPr="004D2934">
        <w:rPr>
          <w:rFonts w:ascii="Corbel" w:hAnsi="Corbel"/>
          <w:b/>
          <w:bCs/>
          <w:color w:val="0A2F41" w:themeColor="accent1" w:themeShade="80"/>
          <w:sz w:val="28"/>
          <w:szCs w:val="28"/>
          <w:lang w:val="en-US"/>
        </w:rPr>
        <w:t>202</w:t>
      </w:r>
      <w:r w:rsidR="00E873E7" w:rsidRPr="004D2934">
        <w:rPr>
          <w:rFonts w:ascii="Corbel" w:hAnsi="Corbel"/>
          <w:b/>
          <w:bCs/>
          <w:color w:val="0A2F41" w:themeColor="accent1" w:themeShade="80"/>
          <w:sz w:val="28"/>
          <w:szCs w:val="28"/>
          <w:lang w:val="en-US"/>
        </w:rPr>
        <w:t>5</w:t>
      </w:r>
      <w:r w:rsidR="00B53BFD" w:rsidRPr="004D2934">
        <w:rPr>
          <w:rFonts w:ascii="Corbel" w:hAnsi="Corbel"/>
          <w:b/>
          <w:bCs/>
          <w:color w:val="0A2F41" w:themeColor="accent1" w:themeShade="80"/>
          <w:sz w:val="28"/>
          <w:szCs w:val="28"/>
          <w:lang w:val="en-US"/>
        </w:rPr>
        <w:t>.</w:t>
      </w:r>
    </w:p>
    <w:p w14:paraId="62D70C13" w14:textId="77777777" w:rsidR="00330661" w:rsidRPr="004D2934" w:rsidRDefault="00330661" w:rsidP="00AC75B7">
      <w:pPr>
        <w:pStyle w:val="Prrafodelista"/>
        <w:jc w:val="center"/>
        <w:rPr>
          <w:rFonts w:ascii="Corbel" w:hAnsi="Corbel"/>
          <w:b/>
          <w:bCs/>
          <w:color w:val="0A2F41" w:themeColor="accent1" w:themeShade="80"/>
          <w:sz w:val="28"/>
          <w:szCs w:val="28"/>
          <w:lang w:val="en-US"/>
        </w:rPr>
      </w:pPr>
    </w:p>
    <w:p w14:paraId="6312C22E" w14:textId="5CDD991D" w:rsidR="00476512" w:rsidRPr="004D2934" w:rsidRDefault="00966798" w:rsidP="00A26110">
      <w:pPr>
        <w:pStyle w:val="Prrafodelista"/>
        <w:jc w:val="center"/>
        <w:rPr>
          <w:rFonts w:ascii="Corbel" w:hAnsi="Corbel"/>
          <w:b/>
          <w:bCs/>
          <w:color w:val="0A2F41" w:themeColor="accent1" w:themeShade="80"/>
          <w:lang w:val="en-US"/>
        </w:rPr>
      </w:pPr>
      <w:r w:rsidRPr="004D2934">
        <w:rPr>
          <w:rFonts w:ascii="Corbel" w:hAnsi="Corbel"/>
          <w:b/>
          <w:bCs/>
          <w:color w:val="0A2F41" w:themeColor="accent1" w:themeShade="80"/>
          <w:sz w:val="24"/>
          <w:szCs w:val="24"/>
          <w:lang w:val="en-US"/>
        </w:rPr>
        <w:t xml:space="preserve">February </w:t>
      </w:r>
      <w:r w:rsidR="00E03FC5">
        <w:rPr>
          <w:rFonts w:ascii="Corbel" w:hAnsi="Corbel"/>
          <w:b/>
          <w:bCs/>
          <w:color w:val="0A2F41" w:themeColor="accent1" w:themeShade="80"/>
          <w:sz w:val="24"/>
          <w:szCs w:val="24"/>
          <w:lang w:val="en-US"/>
        </w:rPr>
        <w:t>12</w:t>
      </w:r>
      <w:r w:rsidR="00E03FC5">
        <w:rPr>
          <w:rFonts w:ascii="Corbel" w:hAnsi="Corbel"/>
          <w:b/>
          <w:bCs/>
          <w:color w:val="0A2F41" w:themeColor="accent1" w:themeShade="80"/>
          <w:sz w:val="24"/>
          <w:szCs w:val="24"/>
          <w:vertAlign w:val="superscript"/>
          <w:lang w:val="en-US"/>
        </w:rPr>
        <w:t>th</w:t>
      </w:r>
      <w:r w:rsidR="00B53BFD" w:rsidRPr="004D2934">
        <w:rPr>
          <w:rFonts w:ascii="Corbel" w:hAnsi="Corbel"/>
          <w:b/>
          <w:bCs/>
          <w:color w:val="0A2F41" w:themeColor="accent1" w:themeShade="80"/>
          <w:sz w:val="24"/>
          <w:szCs w:val="24"/>
          <w:lang w:val="en-US"/>
        </w:rPr>
        <w:t>, 202</w:t>
      </w:r>
      <w:r w:rsidR="00E873E7" w:rsidRPr="004D2934">
        <w:rPr>
          <w:rFonts w:ascii="Corbel" w:hAnsi="Corbel"/>
          <w:b/>
          <w:bCs/>
          <w:color w:val="0A2F41" w:themeColor="accent1" w:themeShade="80"/>
          <w:sz w:val="24"/>
          <w:szCs w:val="24"/>
          <w:lang w:val="en-US"/>
        </w:rPr>
        <w:t>5</w:t>
      </w:r>
    </w:p>
    <w:p w14:paraId="622C48DF" w14:textId="77777777" w:rsidR="00966798" w:rsidRPr="004D2934" w:rsidRDefault="00966798" w:rsidP="00966798">
      <w:pPr>
        <w:rPr>
          <w:rFonts w:ascii="Corbel" w:hAnsi="Corbel"/>
          <w:color w:val="0A2F41" w:themeColor="accent1" w:themeShade="80"/>
          <w:lang w:val="en-US"/>
        </w:rPr>
      </w:pPr>
    </w:p>
    <w:p w14:paraId="34F40B56" w14:textId="0577A349" w:rsidR="00554627" w:rsidRPr="004D2934" w:rsidRDefault="006D73AD" w:rsidP="001F3FCB">
      <w:pPr>
        <w:ind w:firstLine="1"/>
        <w:jc w:val="both"/>
        <w:rPr>
          <w:rFonts w:ascii="Corbel" w:hAnsi="Corbel"/>
          <w:color w:val="0A2F41" w:themeColor="accent1" w:themeShade="80"/>
          <w:lang w:val="en-US"/>
        </w:rPr>
      </w:pPr>
      <w:r w:rsidRPr="004D2934">
        <w:rPr>
          <w:rFonts w:ascii="Corbel" w:hAnsi="Corbel"/>
          <w:color w:val="0A2F41" w:themeColor="accent1" w:themeShade="80"/>
          <w:lang w:val="en-US"/>
        </w:rPr>
        <w:t xml:space="preserve">The </w:t>
      </w:r>
      <w:r w:rsidRPr="004D2934">
        <w:rPr>
          <w:rFonts w:ascii="Corbel" w:hAnsi="Corbel"/>
          <w:i/>
          <w:iCs/>
          <w:color w:val="0A2F41" w:themeColor="accent1" w:themeShade="80"/>
          <w:lang w:val="en-US"/>
        </w:rPr>
        <w:t>Independent Association of Latin America and the Caribbean</w:t>
      </w:r>
      <w:r w:rsidRPr="004D2934">
        <w:rPr>
          <w:rFonts w:ascii="Corbel" w:hAnsi="Corbel"/>
          <w:color w:val="0A2F41" w:themeColor="accent1" w:themeShade="80"/>
          <w:lang w:val="en-US"/>
        </w:rPr>
        <w:t xml:space="preserve"> (AILAC) is honoured to </w:t>
      </w:r>
      <w:r w:rsidR="007B2C38" w:rsidRPr="004D2934">
        <w:rPr>
          <w:rFonts w:ascii="Corbel" w:hAnsi="Corbel"/>
          <w:color w:val="0A2F41" w:themeColor="accent1" w:themeShade="80"/>
          <w:lang w:val="en-US"/>
        </w:rPr>
        <w:t xml:space="preserve">present its views </w:t>
      </w:r>
      <w:r w:rsidRPr="004D2934">
        <w:rPr>
          <w:rFonts w:ascii="Corbel" w:hAnsi="Corbel"/>
          <w:color w:val="0A2F41" w:themeColor="accent1" w:themeShade="80"/>
          <w:lang w:val="en-US"/>
        </w:rPr>
        <w:t xml:space="preserve">on behalf of its member states. This submission outlines our </w:t>
      </w:r>
      <w:r w:rsidR="00AC75B7" w:rsidRPr="004D2934">
        <w:rPr>
          <w:rFonts w:ascii="Corbel" w:hAnsi="Corbel"/>
          <w:color w:val="0A2F41" w:themeColor="accent1" w:themeShade="80"/>
          <w:lang w:val="en-US"/>
        </w:rPr>
        <w:t xml:space="preserve">suggested </w:t>
      </w:r>
      <w:r w:rsidRPr="004D2934">
        <w:rPr>
          <w:rFonts w:ascii="Corbel" w:hAnsi="Corbel"/>
          <w:color w:val="0A2F41" w:themeColor="accent1" w:themeShade="80"/>
          <w:lang w:val="en-US"/>
        </w:rPr>
        <w:t xml:space="preserve">approach and insights on topics </w:t>
      </w:r>
      <w:r w:rsidR="00AC75B7" w:rsidRPr="004D2934">
        <w:rPr>
          <w:rFonts w:ascii="Corbel" w:hAnsi="Corbel"/>
          <w:color w:val="0A2F41" w:themeColor="accent1" w:themeShade="80"/>
          <w:lang w:val="en-US"/>
        </w:rPr>
        <w:t xml:space="preserve">in line with the scope of </w:t>
      </w:r>
      <w:r w:rsidRPr="004D2934">
        <w:rPr>
          <w:rFonts w:ascii="Corbel" w:hAnsi="Corbel"/>
          <w:color w:val="0A2F41" w:themeColor="accent1" w:themeShade="80"/>
          <w:lang w:val="en-US"/>
        </w:rPr>
        <w:t>the work programme, which will be deliberated at the global dialogues in 202</w:t>
      </w:r>
      <w:r w:rsidR="00E873E7" w:rsidRPr="004D2934">
        <w:rPr>
          <w:rFonts w:ascii="Corbel" w:hAnsi="Corbel"/>
          <w:color w:val="0A2F41" w:themeColor="accent1" w:themeShade="80"/>
          <w:lang w:val="en-US"/>
        </w:rPr>
        <w:t>5</w:t>
      </w:r>
      <w:r w:rsidRPr="004D2934">
        <w:rPr>
          <w:rFonts w:ascii="Corbel" w:hAnsi="Corbel"/>
          <w:color w:val="0A2F41" w:themeColor="accent1" w:themeShade="80"/>
          <w:lang w:val="en-US"/>
        </w:rPr>
        <w:t>.</w:t>
      </w:r>
    </w:p>
    <w:p w14:paraId="08EC2916" w14:textId="414EB85D" w:rsidR="00595D68" w:rsidRPr="004D2934" w:rsidRDefault="00595D68" w:rsidP="00595D68">
      <w:pPr>
        <w:ind w:firstLine="1"/>
        <w:jc w:val="both"/>
        <w:rPr>
          <w:rFonts w:ascii="Corbel" w:hAnsi="Corbel"/>
          <w:color w:val="0A2F41" w:themeColor="accent1" w:themeShade="80"/>
          <w:lang w:val="en-US"/>
        </w:rPr>
      </w:pPr>
      <w:r w:rsidRPr="004D2934">
        <w:rPr>
          <w:rFonts w:ascii="Corbel" w:hAnsi="Corbel"/>
          <w:color w:val="0A2F41" w:themeColor="accent1" w:themeShade="80"/>
          <w:lang w:val="en-US"/>
        </w:rPr>
        <w:t xml:space="preserve">AILAC envisions the dialogue as a platform that urgently addresses the climate crisis by advancing solutions that ensure the global temperature remains below 1.5 °C. </w:t>
      </w:r>
      <w:r w:rsidR="00324A14" w:rsidRPr="004D2934">
        <w:rPr>
          <w:rFonts w:ascii="Corbel" w:hAnsi="Corbel"/>
          <w:color w:val="0A2F41" w:themeColor="accent1" w:themeShade="80"/>
          <w:lang w:val="en-US"/>
        </w:rPr>
        <w:t>D</w:t>
      </w:r>
      <w:r w:rsidRPr="004D2934">
        <w:rPr>
          <w:rFonts w:ascii="Corbel" w:hAnsi="Corbel"/>
          <w:color w:val="0A2F41" w:themeColor="accent1" w:themeShade="80"/>
          <w:lang w:val="en-US"/>
        </w:rPr>
        <w:t xml:space="preserve">iscussions must emphasize actions that drive deep, rapid, and sustained emission reductions, leveraging the highest mitigation potential before 2030. </w:t>
      </w:r>
      <w:r w:rsidR="00502AF6" w:rsidRPr="004D2934">
        <w:rPr>
          <w:rFonts w:ascii="Corbel" w:hAnsi="Corbel"/>
          <w:color w:val="0A2F41" w:themeColor="accent1" w:themeShade="80"/>
          <w:lang w:val="en-US"/>
        </w:rPr>
        <w:t>To achieve this, s</w:t>
      </w:r>
      <w:r w:rsidRPr="004D2934">
        <w:rPr>
          <w:rFonts w:ascii="Corbel" w:hAnsi="Corbel"/>
          <w:color w:val="0A2F41" w:themeColor="accent1" w:themeShade="80"/>
          <w:lang w:val="en-US"/>
        </w:rPr>
        <w:t>cience must serve as the guiding framework, providing a robust foundation for decision-making and action.</w:t>
      </w:r>
    </w:p>
    <w:p w14:paraId="12B69DCB" w14:textId="4ADDD457" w:rsidR="00502AF6" w:rsidRPr="004D2934" w:rsidRDefault="00595D68" w:rsidP="00595D68">
      <w:pPr>
        <w:ind w:firstLine="1"/>
        <w:jc w:val="both"/>
        <w:rPr>
          <w:rFonts w:ascii="Corbel" w:hAnsi="Corbel"/>
          <w:color w:val="0A2F41" w:themeColor="accent1" w:themeShade="80"/>
          <w:lang w:val="en-US"/>
        </w:rPr>
      </w:pPr>
      <w:r w:rsidRPr="004D2934">
        <w:rPr>
          <w:rFonts w:ascii="Corbel" w:hAnsi="Corbel"/>
          <w:color w:val="0A2F41" w:themeColor="accent1" w:themeShade="80"/>
          <w:lang w:val="en-US"/>
        </w:rPr>
        <w:t>At the same time, the dialogue must be realistic and considerate of the diverse challenges, barriers, and co-benefits that countries face based on their specific circumstances. It should promote solutions that are not only effective but also practical</w:t>
      </w:r>
      <w:r w:rsidR="00D90CA7" w:rsidRPr="004D2934">
        <w:rPr>
          <w:rFonts w:ascii="Corbel" w:hAnsi="Corbel"/>
          <w:color w:val="0A2F41" w:themeColor="accent1" w:themeShade="80"/>
          <w:lang w:val="en-US"/>
        </w:rPr>
        <w:t xml:space="preserve">, </w:t>
      </w:r>
      <w:r w:rsidRPr="004D2934">
        <w:rPr>
          <w:rFonts w:ascii="Corbel" w:hAnsi="Corbel"/>
          <w:color w:val="0A2F41" w:themeColor="accent1" w:themeShade="80"/>
          <w:lang w:val="en-US"/>
        </w:rPr>
        <w:t xml:space="preserve">feasible </w:t>
      </w:r>
      <w:r w:rsidR="00D90CA7" w:rsidRPr="004D2934">
        <w:rPr>
          <w:rFonts w:ascii="Corbel" w:hAnsi="Corbel"/>
          <w:color w:val="0A2F41" w:themeColor="accent1" w:themeShade="80"/>
          <w:lang w:val="en-US"/>
        </w:rPr>
        <w:t xml:space="preserve">and with high replication potential </w:t>
      </w:r>
      <w:r w:rsidRPr="004D2934">
        <w:rPr>
          <w:rFonts w:ascii="Corbel" w:hAnsi="Corbel"/>
          <w:color w:val="0A2F41" w:themeColor="accent1" w:themeShade="80"/>
          <w:lang w:val="en-US"/>
        </w:rPr>
        <w:t xml:space="preserve">for broad implementation. </w:t>
      </w:r>
    </w:p>
    <w:p w14:paraId="7638920C" w14:textId="5546EA0A" w:rsidR="00595D68" w:rsidRPr="004D2934" w:rsidRDefault="004A7B7A" w:rsidP="001F3FCB">
      <w:pPr>
        <w:ind w:firstLine="1"/>
        <w:jc w:val="both"/>
        <w:rPr>
          <w:rFonts w:ascii="Corbel" w:hAnsi="Corbel"/>
          <w:color w:val="0A2F41" w:themeColor="accent1" w:themeShade="80"/>
          <w:lang w:val="en-US"/>
        </w:rPr>
      </w:pPr>
      <w:r w:rsidRPr="004D2934">
        <w:rPr>
          <w:rFonts w:ascii="Corbel" w:hAnsi="Corbel"/>
          <w:color w:val="0A2F41" w:themeColor="accent1" w:themeShade="80"/>
          <w:lang w:val="en-US"/>
        </w:rPr>
        <w:t>T</w:t>
      </w:r>
      <w:r w:rsidR="001B7F13" w:rsidRPr="004D2934">
        <w:rPr>
          <w:rFonts w:ascii="Corbel" w:hAnsi="Corbel"/>
          <w:color w:val="0A2F41" w:themeColor="accent1" w:themeShade="80"/>
          <w:lang w:val="en-US"/>
        </w:rPr>
        <w:t>he dialogue should build upon the momentum generated by the Global Stocktake (GST), reinforcing its outcomes and translating them into concrete and implementable measures. Given that in 2025 new NDCs are being submitted to the Convention, the dialogue must also highlight positive examples of updated and ambitious NDCs that provide valuable insights into how mitigation actions can be effectively translated into public policy. These examples should demonstrate ambition aligned with the 1.5 °C goal while ensuring coherence with each country’s historical and current responsibilities.</w:t>
      </w:r>
    </w:p>
    <w:p w14:paraId="3223D65B" w14:textId="77777777" w:rsidR="00081AED" w:rsidRPr="004D2934" w:rsidRDefault="00081AED" w:rsidP="00554627">
      <w:pPr>
        <w:jc w:val="both"/>
        <w:rPr>
          <w:rFonts w:ascii="Corbel" w:hAnsi="Corbel"/>
          <w:color w:val="0A2F41" w:themeColor="accent1" w:themeShade="80"/>
          <w:lang w:val="en-US"/>
        </w:rPr>
      </w:pPr>
    </w:p>
    <w:p w14:paraId="6B91B587" w14:textId="77777777" w:rsidR="00B53BFD" w:rsidRPr="004D2934" w:rsidRDefault="00B53BFD" w:rsidP="00554627">
      <w:pPr>
        <w:jc w:val="both"/>
        <w:rPr>
          <w:rFonts w:ascii="Corbel" w:hAnsi="Corbel"/>
          <w:color w:val="0A2F41" w:themeColor="accent1" w:themeShade="80"/>
          <w:lang w:val="en-US"/>
        </w:rPr>
      </w:pPr>
    </w:p>
    <w:p w14:paraId="73864196" w14:textId="77777777" w:rsidR="00B53BFD" w:rsidRPr="004D2934" w:rsidRDefault="00B53BFD" w:rsidP="00554627">
      <w:pPr>
        <w:jc w:val="both"/>
        <w:rPr>
          <w:rFonts w:ascii="Corbel" w:hAnsi="Corbel"/>
          <w:color w:val="0A2F41" w:themeColor="accent1" w:themeShade="80"/>
          <w:lang w:val="en-US"/>
        </w:rPr>
      </w:pPr>
    </w:p>
    <w:p w14:paraId="40C8196C" w14:textId="77777777" w:rsidR="003A27DA" w:rsidRPr="004D2934" w:rsidRDefault="003A27DA" w:rsidP="00554627">
      <w:pPr>
        <w:jc w:val="both"/>
        <w:rPr>
          <w:rFonts w:ascii="Corbel" w:hAnsi="Corbel"/>
          <w:color w:val="0A2F41" w:themeColor="accent1" w:themeShade="80"/>
          <w:lang w:val="en-US"/>
        </w:rPr>
      </w:pPr>
    </w:p>
    <w:p w14:paraId="38E00B87" w14:textId="77777777" w:rsidR="00F01EDE" w:rsidRPr="004D2934" w:rsidRDefault="00F01EDE" w:rsidP="00554627">
      <w:pPr>
        <w:jc w:val="both"/>
        <w:rPr>
          <w:rFonts w:ascii="Corbel" w:hAnsi="Corbel"/>
          <w:color w:val="0A2F41" w:themeColor="accent1" w:themeShade="80"/>
          <w:lang w:val="en-US"/>
        </w:rPr>
      </w:pPr>
    </w:p>
    <w:p w14:paraId="24C8100D" w14:textId="77777777" w:rsidR="00F01EDE" w:rsidRPr="004D2934" w:rsidRDefault="00F01EDE" w:rsidP="00554627">
      <w:pPr>
        <w:jc w:val="both"/>
        <w:rPr>
          <w:rFonts w:ascii="Corbel" w:hAnsi="Corbel"/>
          <w:color w:val="0A2F41" w:themeColor="accent1" w:themeShade="80"/>
          <w:lang w:val="en-US"/>
        </w:rPr>
      </w:pPr>
    </w:p>
    <w:p w14:paraId="49E9A04D" w14:textId="284D3901" w:rsidR="00E10DD8" w:rsidRPr="004D2934" w:rsidRDefault="00554627" w:rsidP="001F3FCB">
      <w:pPr>
        <w:jc w:val="both"/>
        <w:rPr>
          <w:rFonts w:ascii="Corbel" w:hAnsi="Corbel"/>
          <w:b/>
          <w:bCs/>
          <w:color w:val="0A2F41" w:themeColor="accent1" w:themeShade="80"/>
          <w:sz w:val="24"/>
          <w:szCs w:val="24"/>
          <w:lang w:val="en-US"/>
        </w:rPr>
      </w:pPr>
      <w:r w:rsidRPr="004D2934">
        <w:rPr>
          <w:rFonts w:ascii="Corbel" w:hAnsi="Corbel"/>
          <w:b/>
          <w:bCs/>
          <w:color w:val="0A2F41" w:themeColor="accent1" w:themeShade="80"/>
          <w:sz w:val="24"/>
          <w:szCs w:val="24"/>
          <w:lang w:val="en-US"/>
        </w:rPr>
        <w:lastRenderedPageBreak/>
        <w:t xml:space="preserve">Perspectives on </w:t>
      </w:r>
      <w:r w:rsidR="00E10DD8" w:rsidRPr="004D2934">
        <w:rPr>
          <w:rFonts w:ascii="Corbel" w:hAnsi="Corbel"/>
          <w:b/>
          <w:bCs/>
          <w:color w:val="0A2F41" w:themeColor="accent1" w:themeShade="80"/>
          <w:sz w:val="24"/>
          <w:szCs w:val="24"/>
          <w:lang w:val="en-US"/>
        </w:rPr>
        <w:t>the Global Dialogue</w:t>
      </w:r>
      <w:r w:rsidR="001F3FCB" w:rsidRPr="004D2934">
        <w:rPr>
          <w:rFonts w:ascii="Corbel" w:hAnsi="Corbel"/>
          <w:b/>
          <w:bCs/>
          <w:color w:val="0A2F41" w:themeColor="accent1" w:themeShade="80"/>
          <w:sz w:val="24"/>
          <w:szCs w:val="24"/>
          <w:lang w:val="en-US"/>
        </w:rPr>
        <w:t>s</w:t>
      </w:r>
      <w:r w:rsidR="00E10DD8" w:rsidRPr="004D2934">
        <w:rPr>
          <w:rFonts w:ascii="Corbel" w:hAnsi="Corbel"/>
          <w:b/>
          <w:bCs/>
          <w:color w:val="0A2F41" w:themeColor="accent1" w:themeShade="80"/>
          <w:sz w:val="24"/>
          <w:szCs w:val="24"/>
          <w:lang w:val="en-US"/>
        </w:rPr>
        <w:t xml:space="preserve"> </w:t>
      </w:r>
      <w:r w:rsidR="00783951" w:rsidRPr="004D2934">
        <w:rPr>
          <w:rFonts w:ascii="Corbel" w:hAnsi="Corbel"/>
          <w:b/>
          <w:bCs/>
          <w:color w:val="0A2F41" w:themeColor="accent1" w:themeShade="80"/>
          <w:sz w:val="24"/>
          <w:szCs w:val="24"/>
          <w:lang w:val="en-US"/>
        </w:rPr>
        <w:t>of 202</w:t>
      </w:r>
      <w:r w:rsidR="0034294B" w:rsidRPr="004D2934">
        <w:rPr>
          <w:rFonts w:ascii="Corbel" w:hAnsi="Corbel"/>
          <w:b/>
          <w:bCs/>
          <w:color w:val="0A2F41" w:themeColor="accent1" w:themeShade="80"/>
          <w:sz w:val="24"/>
          <w:szCs w:val="24"/>
          <w:lang w:val="en-US"/>
        </w:rPr>
        <w:t>5</w:t>
      </w:r>
      <w:r w:rsidR="00783951" w:rsidRPr="004D2934">
        <w:rPr>
          <w:rFonts w:ascii="Corbel" w:hAnsi="Corbel"/>
          <w:b/>
          <w:bCs/>
          <w:color w:val="0A2F41" w:themeColor="accent1" w:themeShade="80"/>
          <w:sz w:val="24"/>
          <w:szCs w:val="24"/>
          <w:lang w:val="en-US"/>
        </w:rPr>
        <w:t xml:space="preserve"> </w:t>
      </w:r>
      <w:r w:rsidR="00E10DD8" w:rsidRPr="004D2934">
        <w:rPr>
          <w:rFonts w:ascii="Corbel" w:hAnsi="Corbel"/>
          <w:b/>
          <w:bCs/>
          <w:color w:val="0A2F41" w:themeColor="accent1" w:themeShade="80"/>
          <w:sz w:val="24"/>
          <w:szCs w:val="24"/>
          <w:lang w:val="en-US"/>
        </w:rPr>
        <w:t>under the work programme</w:t>
      </w:r>
      <w:r w:rsidR="006B5F1D" w:rsidRPr="004D2934">
        <w:rPr>
          <w:rFonts w:ascii="Corbel" w:hAnsi="Corbel"/>
          <w:b/>
          <w:bCs/>
          <w:color w:val="0A2F41" w:themeColor="accent1" w:themeShade="80"/>
          <w:sz w:val="24"/>
          <w:szCs w:val="24"/>
          <w:lang w:val="en-US"/>
        </w:rPr>
        <w:t>.</w:t>
      </w:r>
    </w:p>
    <w:p w14:paraId="6F6CC733" w14:textId="5F13CB98" w:rsidR="001F3FCB" w:rsidRPr="004D2934" w:rsidRDefault="001F3FCB" w:rsidP="001F3FCB">
      <w:pPr>
        <w:pStyle w:val="Prrafodelista"/>
        <w:numPr>
          <w:ilvl w:val="0"/>
          <w:numId w:val="7"/>
        </w:numPr>
        <w:ind w:left="426"/>
        <w:jc w:val="both"/>
        <w:rPr>
          <w:rFonts w:ascii="Corbel" w:hAnsi="Corbel"/>
          <w:b/>
          <w:bCs/>
          <w:color w:val="0A2F41" w:themeColor="accent1" w:themeShade="80"/>
          <w:sz w:val="24"/>
          <w:szCs w:val="24"/>
          <w:lang w:val="en-US"/>
        </w:rPr>
      </w:pPr>
      <w:r w:rsidRPr="004D2934">
        <w:rPr>
          <w:rFonts w:ascii="Corbel" w:hAnsi="Corbel"/>
          <w:b/>
          <w:bCs/>
          <w:color w:val="0A2F41" w:themeColor="accent1" w:themeShade="80"/>
          <w:sz w:val="24"/>
          <w:szCs w:val="24"/>
          <w:lang w:val="en-US"/>
        </w:rPr>
        <w:t xml:space="preserve">Accelerate action to transition away from fossil fuels </w:t>
      </w:r>
      <w:proofErr w:type="gramStart"/>
      <w:r w:rsidRPr="004D2934">
        <w:rPr>
          <w:rFonts w:ascii="Corbel" w:hAnsi="Corbel"/>
          <w:b/>
          <w:bCs/>
          <w:color w:val="0A2F41" w:themeColor="accent1" w:themeShade="80"/>
          <w:sz w:val="24"/>
          <w:szCs w:val="24"/>
          <w:lang w:val="en-US"/>
        </w:rPr>
        <w:t>in</w:t>
      </w:r>
      <w:proofErr w:type="gramEnd"/>
      <w:r w:rsidRPr="004D2934">
        <w:rPr>
          <w:rFonts w:ascii="Corbel" w:hAnsi="Corbel"/>
          <w:b/>
          <w:bCs/>
          <w:color w:val="0A2F41" w:themeColor="accent1" w:themeShade="80"/>
          <w:sz w:val="24"/>
          <w:szCs w:val="24"/>
          <w:lang w:val="en-US"/>
        </w:rPr>
        <w:t xml:space="preserve"> energy systems, in a just, </w:t>
      </w:r>
      <w:r w:rsidR="003A27DA" w:rsidRPr="004D2934">
        <w:rPr>
          <w:rFonts w:ascii="Corbel" w:hAnsi="Corbel"/>
          <w:b/>
          <w:bCs/>
          <w:color w:val="0A2F41" w:themeColor="accent1" w:themeShade="80"/>
          <w:sz w:val="24"/>
          <w:szCs w:val="24"/>
          <w:lang w:val="en-US"/>
        </w:rPr>
        <w:t>orderly,</w:t>
      </w:r>
      <w:r w:rsidRPr="004D2934">
        <w:rPr>
          <w:rFonts w:ascii="Corbel" w:hAnsi="Corbel"/>
          <w:b/>
          <w:bCs/>
          <w:color w:val="0A2F41" w:themeColor="accent1" w:themeShade="80"/>
          <w:sz w:val="24"/>
          <w:szCs w:val="24"/>
          <w:lang w:val="en-US"/>
        </w:rPr>
        <w:t xml:space="preserve"> and equitable manner. </w:t>
      </w:r>
    </w:p>
    <w:p w14:paraId="79C604EA" w14:textId="22538BB8" w:rsidR="00E50F79" w:rsidRPr="004D2934" w:rsidRDefault="00E50F79" w:rsidP="00DE6774">
      <w:pPr>
        <w:jc w:val="both"/>
        <w:rPr>
          <w:rFonts w:ascii="Corbel" w:hAnsi="Corbel"/>
          <w:i/>
          <w:iCs/>
          <w:color w:val="0A2F41" w:themeColor="accent1" w:themeShade="80"/>
          <w:lang w:val="en-US"/>
        </w:rPr>
      </w:pPr>
      <w:r w:rsidRPr="004D2934">
        <w:rPr>
          <w:rFonts w:ascii="Corbel" w:hAnsi="Corbel"/>
          <w:i/>
          <w:iCs/>
          <w:color w:val="0A2F41" w:themeColor="accent1" w:themeShade="80"/>
          <w:lang w:val="en-US"/>
        </w:rPr>
        <w:t>Considering that:</w:t>
      </w:r>
      <w:r w:rsidR="00966798" w:rsidRPr="004D2934">
        <w:rPr>
          <w:rFonts w:ascii="Corbel" w:hAnsi="Corbel"/>
          <w:i/>
          <w:iCs/>
          <w:color w:val="0A2F41" w:themeColor="accent1" w:themeShade="80"/>
          <w:lang w:val="en-US"/>
        </w:rPr>
        <w:t xml:space="preserve"> </w:t>
      </w:r>
    </w:p>
    <w:p w14:paraId="765E2919" w14:textId="0C6B9866" w:rsidR="00E50F79" w:rsidRPr="004D2934" w:rsidRDefault="00E50F79" w:rsidP="00FB74CC">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L</w:t>
      </w:r>
      <w:r w:rsidR="006D73AD" w:rsidRPr="004D2934">
        <w:rPr>
          <w:rFonts w:ascii="Corbel" w:hAnsi="Corbel"/>
          <w:color w:val="0A2F41" w:themeColor="accent1" w:themeShade="80"/>
          <w:lang w:val="en-US"/>
        </w:rPr>
        <w:t xml:space="preserve">imiting global warming to 1.5 °C with no or limited overshoot requires deep, </w:t>
      </w:r>
      <w:r w:rsidR="003A27DA" w:rsidRPr="004D2934">
        <w:rPr>
          <w:rFonts w:ascii="Corbel" w:hAnsi="Corbel"/>
          <w:color w:val="0A2F41" w:themeColor="accent1" w:themeShade="80"/>
          <w:lang w:val="en-US"/>
        </w:rPr>
        <w:t>rapid,</w:t>
      </w:r>
      <w:r w:rsidR="006D73AD" w:rsidRPr="004D2934">
        <w:rPr>
          <w:rFonts w:ascii="Corbel" w:hAnsi="Corbel"/>
          <w:color w:val="0A2F41" w:themeColor="accent1" w:themeShade="80"/>
          <w:lang w:val="en-US"/>
        </w:rPr>
        <w:t xml:space="preserve"> and sustained reductions in global greenhouse gas emissions of 43 per cent by 2030 and 60 per cent by 2035 relative to the 2019 level and reaching net zero carbon dioxide emissions by 2050 (Decision 1/CMA5, para 27)</w:t>
      </w:r>
      <w:r w:rsidR="00F96D37" w:rsidRPr="004D2934">
        <w:rPr>
          <w:rFonts w:ascii="Corbel" w:hAnsi="Corbel"/>
          <w:color w:val="0A2F41" w:themeColor="accent1" w:themeShade="80"/>
          <w:lang w:val="en-US"/>
        </w:rPr>
        <w:t>.</w:t>
      </w:r>
    </w:p>
    <w:p w14:paraId="30DF86C7" w14:textId="04D71257" w:rsidR="00945053" w:rsidRPr="004D2934" w:rsidRDefault="00E50F79" w:rsidP="00FB74CC">
      <w:pPr>
        <w:pStyle w:val="Prrafodelista"/>
        <w:numPr>
          <w:ilvl w:val="0"/>
          <w:numId w:val="6"/>
        </w:numPr>
        <w:jc w:val="both"/>
        <w:rPr>
          <w:lang w:val="en-US"/>
        </w:rPr>
      </w:pPr>
      <w:r w:rsidRPr="004D2934">
        <w:rPr>
          <w:rFonts w:ascii="Corbel" w:hAnsi="Corbel"/>
          <w:color w:val="0A2F41" w:themeColor="accent1" w:themeShade="80"/>
          <w:lang w:val="en-US"/>
        </w:rPr>
        <w:t xml:space="preserve">Fossil fuels – coal, </w:t>
      </w:r>
      <w:r w:rsidR="003A27DA" w:rsidRPr="004D2934">
        <w:rPr>
          <w:rFonts w:ascii="Corbel" w:hAnsi="Corbel"/>
          <w:color w:val="0A2F41" w:themeColor="accent1" w:themeShade="80"/>
          <w:lang w:val="en-US"/>
        </w:rPr>
        <w:t>oil,</w:t>
      </w:r>
      <w:r w:rsidRPr="004D2934">
        <w:rPr>
          <w:rFonts w:ascii="Corbel" w:hAnsi="Corbel"/>
          <w:color w:val="0A2F41" w:themeColor="accent1" w:themeShade="80"/>
          <w:lang w:val="en-US"/>
        </w:rPr>
        <w:t xml:space="preserve"> and gas – are by far the largest contributor to global climate change</w:t>
      </w:r>
      <w:r w:rsidR="00442963" w:rsidRPr="004D2934">
        <w:rPr>
          <w:rFonts w:ascii="Corbel" w:hAnsi="Corbel"/>
          <w:color w:val="0A2F41" w:themeColor="accent1" w:themeShade="80"/>
          <w:lang w:val="en-US"/>
        </w:rPr>
        <w:t xml:space="preserve">. </w:t>
      </w:r>
      <w:r w:rsidR="00925777" w:rsidRPr="004D2934">
        <w:rPr>
          <w:rFonts w:ascii="Corbel" w:hAnsi="Corbel"/>
          <w:color w:val="0A2F41" w:themeColor="accent1" w:themeShade="80"/>
          <w:lang w:val="en-US"/>
        </w:rPr>
        <w:t xml:space="preserve">The production and use of fossil fuels are the predominant driver of </w:t>
      </w:r>
      <w:proofErr w:type="gramStart"/>
      <w:r w:rsidR="00925777" w:rsidRPr="004D2934">
        <w:rPr>
          <w:rFonts w:ascii="Corbel" w:hAnsi="Corbel"/>
          <w:color w:val="0A2F41" w:themeColor="accent1" w:themeShade="80"/>
          <w:lang w:val="en-US"/>
        </w:rPr>
        <w:t>the climate</w:t>
      </w:r>
      <w:proofErr w:type="gramEnd"/>
      <w:r w:rsidR="00925777" w:rsidRPr="004D2934">
        <w:rPr>
          <w:rFonts w:ascii="Corbel" w:hAnsi="Corbel"/>
          <w:color w:val="0A2F41" w:themeColor="accent1" w:themeShade="80"/>
          <w:lang w:val="en-US"/>
        </w:rPr>
        <w:t xml:space="preserve"> emergency, accounting for close to 90% of human-made carbon dioxide emissions</w:t>
      </w:r>
      <w:r w:rsidR="0051022A" w:rsidRPr="004D2934">
        <w:rPr>
          <w:rFonts w:ascii="Corbel" w:hAnsi="Corbel"/>
          <w:color w:val="0A2F41" w:themeColor="accent1" w:themeShade="80"/>
          <w:lang w:val="en-US"/>
        </w:rPr>
        <w:t xml:space="preserve">. </w:t>
      </w:r>
      <w:r w:rsidR="00936B86" w:rsidRPr="004D2934">
        <w:rPr>
          <w:rFonts w:ascii="Corbel" w:hAnsi="Corbel"/>
          <w:color w:val="0A2F41" w:themeColor="accent1" w:themeShade="80"/>
          <w:lang w:val="en-US"/>
        </w:rPr>
        <w:t xml:space="preserve">At the same time, global </w:t>
      </w:r>
      <w:proofErr w:type="gramStart"/>
      <w:r w:rsidR="00936B86" w:rsidRPr="004D2934">
        <w:rPr>
          <w:rFonts w:ascii="Corbel" w:hAnsi="Corbel"/>
          <w:color w:val="0A2F41" w:themeColor="accent1" w:themeShade="80"/>
          <w:lang w:val="en-US"/>
        </w:rPr>
        <w:t>fossil-fuel</w:t>
      </w:r>
      <w:proofErr w:type="gramEnd"/>
      <w:r w:rsidR="00936B86" w:rsidRPr="004D2934">
        <w:rPr>
          <w:rFonts w:ascii="Corbel" w:hAnsi="Corbel"/>
          <w:color w:val="0A2F41" w:themeColor="accent1" w:themeShade="80"/>
          <w:lang w:val="en-US"/>
        </w:rPr>
        <w:t>-derived carbon dioxide</w:t>
      </w:r>
      <w:r w:rsidR="00442963" w:rsidRPr="004D2934">
        <w:rPr>
          <w:rFonts w:ascii="Corbel" w:hAnsi="Corbel"/>
          <w:color w:val="0A2F41" w:themeColor="accent1" w:themeShade="80"/>
          <w:lang w:val="en-US"/>
        </w:rPr>
        <w:t xml:space="preserve"> </w:t>
      </w:r>
      <w:r w:rsidR="00936B86" w:rsidRPr="004D2934">
        <w:rPr>
          <w:rFonts w:ascii="Corbel" w:hAnsi="Corbel"/>
          <w:color w:val="0A2F41" w:themeColor="accent1" w:themeShade="80"/>
          <w:lang w:val="en-US"/>
        </w:rPr>
        <w:t>emissions reached a record</w:t>
      </w:r>
      <w:r w:rsidR="00345FFD" w:rsidRPr="004D2934">
        <w:rPr>
          <w:rFonts w:ascii="Corbel" w:hAnsi="Corbel"/>
          <w:color w:val="0A2F41" w:themeColor="accent1" w:themeShade="80"/>
          <w:lang w:val="en-US"/>
        </w:rPr>
        <w:t xml:space="preserve"> </w:t>
      </w:r>
      <w:r w:rsidR="00936B86" w:rsidRPr="004D2934">
        <w:rPr>
          <w:rFonts w:ascii="Corbel" w:hAnsi="Corbel"/>
          <w:color w:val="0A2F41" w:themeColor="accent1" w:themeShade="80"/>
          <w:lang w:val="en-US"/>
        </w:rPr>
        <w:t>high in 2022</w:t>
      </w:r>
      <w:r w:rsidR="00345FFD" w:rsidRPr="004D2934">
        <w:rPr>
          <w:rFonts w:ascii="Corbel" w:hAnsi="Corbel"/>
          <w:color w:val="0A2F41" w:themeColor="accent1" w:themeShade="80"/>
          <w:lang w:val="en-US"/>
        </w:rPr>
        <w:t xml:space="preserve"> </w:t>
      </w:r>
      <w:r w:rsidR="00DB5747" w:rsidRPr="004D2934">
        <w:rPr>
          <w:rFonts w:ascii="Corbel" w:hAnsi="Corbel"/>
          <w:color w:val="0A2F41" w:themeColor="accent1" w:themeShade="80"/>
          <w:lang w:val="en-US"/>
        </w:rPr>
        <w:t>(Production Gap Report, 2023)</w:t>
      </w:r>
      <w:r w:rsidR="0051022A" w:rsidRPr="004D2934">
        <w:rPr>
          <w:rFonts w:ascii="Corbel" w:hAnsi="Corbel"/>
          <w:color w:val="0A2F41" w:themeColor="accent1" w:themeShade="80"/>
          <w:lang w:val="en-US"/>
        </w:rPr>
        <w:t>.</w:t>
      </w:r>
      <w:r w:rsidR="00E7144F" w:rsidRPr="004D2934">
        <w:rPr>
          <w:rFonts w:ascii="Corbel" w:hAnsi="Corbel"/>
          <w:color w:val="0A2F41" w:themeColor="accent1" w:themeShade="80"/>
          <w:lang w:val="en-US"/>
        </w:rPr>
        <w:t xml:space="preserve"> </w:t>
      </w:r>
    </w:p>
    <w:p w14:paraId="73DE3D1C" w14:textId="768FC57E" w:rsidR="00675E1F" w:rsidRPr="004D2934" w:rsidRDefault="00675E1F" w:rsidP="0091703E">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Governments, in aggregate, plan to produce, in 2030, around 110% more fossil fuels than would be consistent with limiting warming to 1.5°C (i.e. more than double), and 69% more than would be consistent with limiting warming to 2°C. These global production gaps grow wider out to 2050. The persistence of the global production gap puts a well-managed and equitable energy transition at risk (Production Gap Report, 2023).</w:t>
      </w:r>
    </w:p>
    <w:p w14:paraId="07FFF936" w14:textId="548168CF" w:rsidR="00132722" w:rsidRPr="004D2934" w:rsidRDefault="00E077A8" w:rsidP="00181BE1">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Fossil fuel subsidies surged to </w:t>
      </w:r>
      <w:r w:rsidR="003F433D" w:rsidRPr="004D2934">
        <w:rPr>
          <w:rFonts w:ascii="Corbel" w:hAnsi="Corbel"/>
          <w:color w:val="0A2F41" w:themeColor="accent1" w:themeShade="80"/>
          <w:lang w:val="en-US"/>
        </w:rPr>
        <w:t>a record</w:t>
      </w:r>
      <w:r w:rsidRPr="004D2934">
        <w:rPr>
          <w:rFonts w:ascii="Corbel" w:hAnsi="Corbel"/>
          <w:color w:val="0A2F41" w:themeColor="accent1" w:themeShade="80"/>
          <w:lang w:val="en-US"/>
        </w:rPr>
        <w:t xml:space="preserve"> </w:t>
      </w:r>
      <w:r w:rsidR="00334E13" w:rsidRPr="004D2934">
        <w:rPr>
          <w:rFonts w:ascii="Corbel" w:hAnsi="Corbel"/>
          <w:color w:val="0A2F41" w:themeColor="accent1" w:themeShade="80"/>
          <w:lang w:val="en-US"/>
        </w:rPr>
        <w:t xml:space="preserve">$7 trillion in 2022 </w:t>
      </w:r>
      <w:r w:rsidR="00F0652B" w:rsidRPr="004D2934">
        <w:rPr>
          <w:rFonts w:ascii="Corbel" w:hAnsi="Corbel"/>
          <w:color w:val="0A2F41" w:themeColor="accent1" w:themeShade="80"/>
          <w:lang w:val="en-US"/>
        </w:rPr>
        <w:t xml:space="preserve">worldwide </w:t>
      </w:r>
      <w:r w:rsidR="00334E13" w:rsidRPr="004D2934">
        <w:rPr>
          <w:rFonts w:ascii="Corbel" w:hAnsi="Corbel"/>
          <w:color w:val="0A2F41" w:themeColor="accent1" w:themeShade="80"/>
          <w:lang w:val="en-US"/>
        </w:rPr>
        <w:t>(International Monetary Fund).</w:t>
      </w:r>
      <w:r w:rsidR="00181BE1" w:rsidRPr="004D2934">
        <w:rPr>
          <w:rFonts w:ascii="Corbel" w:hAnsi="Corbel"/>
          <w:color w:val="0A2F41" w:themeColor="accent1" w:themeShade="80"/>
          <w:lang w:val="en-US"/>
        </w:rPr>
        <w:t xml:space="preserve"> </w:t>
      </w:r>
      <w:r w:rsidR="00132722" w:rsidRPr="004D2934">
        <w:rPr>
          <w:rFonts w:ascii="Corbel" w:hAnsi="Corbel"/>
          <w:color w:val="0A2F41" w:themeColor="accent1" w:themeShade="80"/>
          <w:lang w:val="en-US"/>
        </w:rPr>
        <w:t>Removing fossil fuel subsidies would reduce emissions, improve public revenue and macroeconomic performance, and yield other environmental and sustainable development benefits</w:t>
      </w:r>
      <w:r w:rsidR="00CD6F56" w:rsidRPr="004D2934">
        <w:rPr>
          <w:rFonts w:ascii="Corbel" w:hAnsi="Corbel"/>
          <w:color w:val="0A2F41" w:themeColor="accent1" w:themeShade="80"/>
          <w:lang w:val="en-US"/>
        </w:rPr>
        <w:t>.</w:t>
      </w:r>
      <w:r w:rsidR="00132722" w:rsidRPr="004D2934">
        <w:rPr>
          <w:rFonts w:ascii="Corbel" w:hAnsi="Corbel"/>
          <w:color w:val="0A2F41" w:themeColor="accent1" w:themeShade="80"/>
          <w:lang w:val="en-US"/>
        </w:rPr>
        <w:t xml:space="preserve"> </w:t>
      </w:r>
      <w:r w:rsidR="00CD6F56" w:rsidRPr="004D2934">
        <w:rPr>
          <w:rFonts w:ascii="Corbel" w:hAnsi="Corbel"/>
          <w:color w:val="0A2F41" w:themeColor="accent1" w:themeShade="80"/>
          <w:lang w:val="en-US"/>
        </w:rPr>
        <w:t>F</w:t>
      </w:r>
      <w:r w:rsidR="00132722" w:rsidRPr="004D2934">
        <w:rPr>
          <w:rFonts w:ascii="Corbel" w:hAnsi="Corbel"/>
          <w:color w:val="0A2F41" w:themeColor="accent1" w:themeShade="80"/>
          <w:lang w:val="en-US"/>
        </w:rPr>
        <w:t xml:space="preserve">ossil fuel subsidy removal is projected to reduce global CO2 emissions by 1–4%, and </w:t>
      </w:r>
      <w:r w:rsidR="00CD6F56" w:rsidRPr="004D2934">
        <w:rPr>
          <w:rFonts w:ascii="Corbel" w:hAnsi="Corbel"/>
          <w:color w:val="0A2F41" w:themeColor="accent1" w:themeShade="80"/>
          <w:lang w:val="en-US"/>
        </w:rPr>
        <w:t xml:space="preserve">GHG </w:t>
      </w:r>
      <w:r w:rsidR="00132722" w:rsidRPr="004D2934">
        <w:rPr>
          <w:rFonts w:ascii="Corbel" w:hAnsi="Corbel"/>
          <w:color w:val="0A2F41" w:themeColor="accent1" w:themeShade="80"/>
          <w:lang w:val="en-US"/>
        </w:rPr>
        <w:t>emissions by up to 10% by 2030, varying across regions</w:t>
      </w:r>
      <w:r w:rsidR="0086142A" w:rsidRPr="004D2934">
        <w:rPr>
          <w:rFonts w:ascii="Corbel" w:hAnsi="Corbel"/>
          <w:color w:val="0A2F41" w:themeColor="accent1" w:themeShade="80"/>
          <w:lang w:val="en-US"/>
        </w:rPr>
        <w:t xml:space="preserve"> (AR6, Working Group III).</w:t>
      </w:r>
    </w:p>
    <w:p w14:paraId="5547330A" w14:textId="5BFF647E" w:rsidR="000955C5" w:rsidRPr="004D2934" w:rsidRDefault="000955C5" w:rsidP="005F6BDA">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A rapid reduction of the world economy’s reliance on fossil fuels towards clean energy is central for reaching global net zero CO2 and GHG emissions (Synthesis Report on the technical dialogue of the first Global Stocktake).</w:t>
      </w:r>
    </w:p>
    <w:p w14:paraId="6734B4A7" w14:textId="6C035F67" w:rsidR="00064824" w:rsidRPr="004D2934" w:rsidRDefault="00064824" w:rsidP="005F6BDA">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While it is inevitable that fossil fuels will remain in the energy mix, their share must dramatically decrease as we approach mid-century (World Energy Transitions Outlook 2023, IRENA).</w:t>
      </w:r>
    </w:p>
    <w:p w14:paraId="59A6482D" w14:textId="59B5CFC4" w:rsidR="005F6BDA" w:rsidRPr="004D2934" w:rsidRDefault="005F6BDA" w:rsidP="005F6BDA">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Cost-optimized mitigation scenarios suggest that, to limit warming to 1.5°C, global coal, oil, and gas production and use should decline rapidly and substantially, starting now (Production Gap Report, 2023).</w:t>
      </w:r>
    </w:p>
    <w:p w14:paraId="60A5E707" w14:textId="13884520" w:rsidR="0053359E" w:rsidRPr="004D2934" w:rsidRDefault="0053359E" w:rsidP="0053359E">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As the IPCC's Sixth Assessment Report strongly indicates, only the operation of the current </w:t>
      </w:r>
      <w:r w:rsidR="00082AB0" w:rsidRPr="004D2934">
        <w:rPr>
          <w:rFonts w:ascii="Corbel" w:hAnsi="Corbel"/>
          <w:color w:val="0A2F41" w:themeColor="accent1" w:themeShade="80"/>
          <w:lang w:val="en-US"/>
        </w:rPr>
        <w:t xml:space="preserve">fossil fuel </w:t>
      </w:r>
      <w:r w:rsidRPr="004D2934">
        <w:rPr>
          <w:rFonts w:ascii="Corbel" w:hAnsi="Corbel"/>
          <w:color w:val="0A2F41" w:themeColor="accent1" w:themeShade="80"/>
          <w:lang w:val="en-US"/>
        </w:rPr>
        <w:t>infrastructure would lead us to a 1.5°C scenario with an elevated level of certainty, and that putting the planned infrastructure on operation would lead us to exceed 2°C scenario (AR6).</w:t>
      </w:r>
    </w:p>
    <w:p w14:paraId="40270169" w14:textId="3A2CF4D4" w:rsidR="009C63D0" w:rsidRPr="004D2934" w:rsidRDefault="009C63D0" w:rsidP="00A26110">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The objective of the work programme is to </w:t>
      </w:r>
      <w:r w:rsidRPr="004D2934">
        <w:rPr>
          <w:rFonts w:ascii="Corbel" w:hAnsi="Corbel"/>
          <w:i/>
          <w:iCs/>
          <w:color w:val="0A2F41" w:themeColor="accent1" w:themeShade="80"/>
          <w:lang w:val="en-US"/>
        </w:rPr>
        <w:t>urgently</w:t>
      </w:r>
      <w:r w:rsidRPr="004D2934">
        <w:rPr>
          <w:rFonts w:ascii="Corbel" w:hAnsi="Corbel"/>
          <w:color w:val="0A2F41" w:themeColor="accent1" w:themeShade="80"/>
          <w:lang w:val="en-US"/>
        </w:rPr>
        <w:t xml:space="preserve"> scale up mitigation ambition and implementation in </w:t>
      </w:r>
      <w:r w:rsidRPr="004D2934">
        <w:rPr>
          <w:rFonts w:ascii="Corbel" w:hAnsi="Corbel"/>
          <w:i/>
          <w:iCs/>
          <w:color w:val="0A2F41" w:themeColor="accent1" w:themeShade="80"/>
          <w:lang w:val="en-US"/>
        </w:rPr>
        <w:t>this critical decade</w:t>
      </w:r>
      <w:r w:rsidRPr="004D2934">
        <w:rPr>
          <w:rFonts w:ascii="Corbel" w:hAnsi="Corbel"/>
          <w:color w:val="0A2F41" w:themeColor="accent1" w:themeShade="80"/>
          <w:lang w:val="en-US"/>
        </w:rPr>
        <w:t xml:space="preserve"> in a manner that complements the Global Stocktake</w:t>
      </w:r>
      <w:r w:rsidR="00985077" w:rsidRPr="004D2934">
        <w:rPr>
          <w:rFonts w:ascii="Corbel" w:hAnsi="Corbel"/>
          <w:color w:val="0A2F41" w:themeColor="accent1" w:themeShade="80"/>
          <w:lang w:val="en-US"/>
        </w:rPr>
        <w:t xml:space="preserve"> (</w:t>
      </w:r>
      <w:r w:rsidR="001D3785" w:rsidRPr="004D2934">
        <w:rPr>
          <w:rFonts w:ascii="Corbel" w:hAnsi="Corbel"/>
          <w:color w:val="0A2F41" w:themeColor="accent1" w:themeShade="80"/>
          <w:lang w:val="en-US"/>
        </w:rPr>
        <w:t xml:space="preserve">Decision </w:t>
      </w:r>
      <w:r w:rsidR="00D954C7" w:rsidRPr="004D2934">
        <w:rPr>
          <w:rFonts w:ascii="Corbel" w:hAnsi="Corbel"/>
          <w:color w:val="0A2F41" w:themeColor="accent1" w:themeShade="80"/>
          <w:lang w:val="en-US"/>
        </w:rPr>
        <w:t>4</w:t>
      </w:r>
      <w:r w:rsidR="001D3785" w:rsidRPr="004D2934">
        <w:rPr>
          <w:rFonts w:ascii="Corbel" w:hAnsi="Corbel"/>
          <w:color w:val="0A2F41" w:themeColor="accent1" w:themeShade="80"/>
          <w:lang w:val="en-US"/>
        </w:rPr>
        <w:t>/CMA</w:t>
      </w:r>
      <w:r w:rsidR="00D954C7" w:rsidRPr="004D2934">
        <w:rPr>
          <w:rFonts w:ascii="Corbel" w:hAnsi="Corbel"/>
          <w:color w:val="0A2F41" w:themeColor="accent1" w:themeShade="80"/>
          <w:lang w:val="en-US"/>
        </w:rPr>
        <w:t>4</w:t>
      </w:r>
      <w:r w:rsidR="001D3785" w:rsidRPr="004D2934">
        <w:rPr>
          <w:rFonts w:ascii="Corbel" w:hAnsi="Corbel"/>
          <w:color w:val="0A2F41" w:themeColor="accent1" w:themeShade="80"/>
          <w:lang w:val="en-US"/>
        </w:rPr>
        <w:t xml:space="preserve">, para </w:t>
      </w:r>
      <w:r w:rsidR="00D954C7" w:rsidRPr="004D2934">
        <w:rPr>
          <w:rFonts w:ascii="Corbel" w:hAnsi="Corbel"/>
          <w:color w:val="0A2F41" w:themeColor="accent1" w:themeShade="80"/>
          <w:lang w:val="en-US"/>
        </w:rPr>
        <w:t>1</w:t>
      </w:r>
      <w:r w:rsidR="001D3785" w:rsidRPr="004D2934">
        <w:rPr>
          <w:rFonts w:ascii="Corbel" w:hAnsi="Corbel"/>
          <w:color w:val="0A2F41" w:themeColor="accent1" w:themeShade="80"/>
          <w:lang w:val="en-US"/>
        </w:rPr>
        <w:t>)</w:t>
      </w:r>
      <w:r w:rsidRPr="004D2934">
        <w:rPr>
          <w:rFonts w:ascii="Corbel" w:hAnsi="Corbel"/>
          <w:color w:val="0A2F41" w:themeColor="accent1" w:themeShade="80"/>
          <w:lang w:val="en-US"/>
        </w:rPr>
        <w:t>.</w:t>
      </w:r>
    </w:p>
    <w:p w14:paraId="2C4079E3" w14:textId="47D8CD59" w:rsidR="00E50F79" w:rsidRPr="004D2934" w:rsidRDefault="009C63D0" w:rsidP="00A26110">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The first Global Stocktake calls Parties </w:t>
      </w:r>
      <w:r w:rsidR="006D73AD" w:rsidRPr="004D2934">
        <w:rPr>
          <w:rFonts w:ascii="Corbel" w:hAnsi="Corbel"/>
          <w:color w:val="0A2F41" w:themeColor="accent1" w:themeShade="80"/>
          <w:lang w:val="en-US"/>
        </w:rPr>
        <w:t>to contribute</w:t>
      </w:r>
      <w:r w:rsidR="00E50F79" w:rsidRPr="004D2934">
        <w:rPr>
          <w:rFonts w:ascii="Corbel" w:hAnsi="Corbel"/>
          <w:color w:val="0A2F41" w:themeColor="accent1" w:themeShade="80"/>
          <w:lang w:val="en-US"/>
        </w:rPr>
        <w:t xml:space="preserve"> </w:t>
      </w:r>
      <w:r w:rsidR="006D73AD" w:rsidRPr="004D2934">
        <w:rPr>
          <w:rFonts w:ascii="Corbel" w:hAnsi="Corbel"/>
          <w:color w:val="0A2F41" w:themeColor="accent1" w:themeShade="80"/>
          <w:lang w:val="en-US"/>
        </w:rPr>
        <w:t xml:space="preserve">to </w:t>
      </w:r>
      <w:r w:rsidR="00E50F79" w:rsidRPr="004D2934">
        <w:rPr>
          <w:rFonts w:ascii="Corbel" w:hAnsi="Corbel"/>
          <w:color w:val="0A2F41" w:themeColor="accent1" w:themeShade="80"/>
          <w:lang w:val="en-US"/>
        </w:rPr>
        <w:t>global efforts to</w:t>
      </w:r>
      <w:r w:rsidR="00DD05E8" w:rsidRPr="004D2934">
        <w:rPr>
          <w:rFonts w:ascii="Corbel" w:hAnsi="Corbel"/>
          <w:color w:val="0A2F41" w:themeColor="accent1" w:themeShade="80"/>
          <w:lang w:val="en-US"/>
        </w:rPr>
        <w:t xml:space="preserve"> </w:t>
      </w:r>
      <w:r w:rsidR="00E50F79" w:rsidRPr="004D2934">
        <w:rPr>
          <w:rFonts w:ascii="Corbel" w:hAnsi="Corbel"/>
          <w:color w:val="0A2F41" w:themeColor="accent1" w:themeShade="80"/>
          <w:lang w:val="en-US"/>
        </w:rPr>
        <w:t xml:space="preserve">transition away from fossil fuels in energy systems, in a just, </w:t>
      </w:r>
      <w:r w:rsidR="00225783" w:rsidRPr="004D2934">
        <w:rPr>
          <w:rFonts w:ascii="Corbel" w:hAnsi="Corbel"/>
          <w:color w:val="0A2F41" w:themeColor="accent1" w:themeShade="80"/>
          <w:lang w:val="en-US"/>
        </w:rPr>
        <w:t>orderly,</w:t>
      </w:r>
      <w:r w:rsidR="00E50F79" w:rsidRPr="004D2934">
        <w:rPr>
          <w:rFonts w:ascii="Corbel" w:hAnsi="Corbel"/>
          <w:color w:val="0A2F41" w:themeColor="accent1" w:themeShade="80"/>
          <w:lang w:val="en-US"/>
        </w:rPr>
        <w:t xml:space="preserve"> and equitable manner, accelerating </w:t>
      </w:r>
      <w:r w:rsidR="00E50F79" w:rsidRPr="004D2934">
        <w:rPr>
          <w:rFonts w:ascii="Corbel" w:hAnsi="Corbel"/>
          <w:color w:val="0A2F41" w:themeColor="accent1" w:themeShade="80"/>
          <w:lang w:val="en-US"/>
        </w:rPr>
        <w:lastRenderedPageBreak/>
        <w:t xml:space="preserve">action in this critical decade, </w:t>
      </w:r>
      <w:r w:rsidR="00922E9E" w:rsidRPr="004D2934">
        <w:rPr>
          <w:rFonts w:ascii="Corbel" w:hAnsi="Corbel"/>
          <w:color w:val="0A2F41" w:themeColor="accent1" w:themeShade="80"/>
          <w:lang w:val="en-US"/>
        </w:rPr>
        <w:t>to</w:t>
      </w:r>
      <w:r w:rsidR="00E50F79" w:rsidRPr="004D2934">
        <w:rPr>
          <w:rFonts w:ascii="Corbel" w:hAnsi="Corbel"/>
          <w:color w:val="0A2F41" w:themeColor="accent1" w:themeShade="80"/>
          <w:lang w:val="en-US"/>
        </w:rPr>
        <w:t xml:space="preserve"> achieve net zero by 2050 in keeping with the science (Decision 1/CMA5, para </w:t>
      </w:r>
      <w:r w:rsidR="005E726A" w:rsidRPr="004D2934">
        <w:rPr>
          <w:rFonts w:ascii="Corbel" w:hAnsi="Corbel"/>
          <w:color w:val="0A2F41" w:themeColor="accent1" w:themeShade="80"/>
          <w:lang w:val="en-US"/>
        </w:rPr>
        <w:t>28</w:t>
      </w:r>
      <w:r w:rsidR="008D128E" w:rsidRPr="004D2934">
        <w:rPr>
          <w:rFonts w:ascii="Corbel" w:hAnsi="Corbel"/>
          <w:color w:val="0A2F41" w:themeColor="accent1" w:themeShade="80"/>
          <w:lang w:val="en-US"/>
        </w:rPr>
        <w:t>.d</w:t>
      </w:r>
      <w:r w:rsidR="00E50F79" w:rsidRPr="004D2934">
        <w:rPr>
          <w:rFonts w:ascii="Corbel" w:hAnsi="Corbel"/>
          <w:color w:val="0A2F41" w:themeColor="accent1" w:themeShade="80"/>
          <w:lang w:val="en-US"/>
        </w:rPr>
        <w:t>).</w:t>
      </w:r>
    </w:p>
    <w:p w14:paraId="702EE80E" w14:textId="2382D3A0" w:rsidR="009F46E0" w:rsidRPr="004D2934" w:rsidRDefault="00D7420C" w:rsidP="009F46E0">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Much more ambition in action and support is needed in implementing domestic mitigation measures and setting more ambitious targets in </w:t>
      </w:r>
      <w:r w:rsidRPr="004D2934">
        <w:rPr>
          <w:rFonts w:ascii="Corbel" w:hAnsi="Corbel"/>
          <w:i/>
          <w:iCs/>
          <w:color w:val="0A2F41" w:themeColor="accent1" w:themeShade="80"/>
          <w:lang w:val="en-US"/>
        </w:rPr>
        <w:t>Nationally Determined Contributions</w:t>
      </w:r>
      <w:r w:rsidRPr="004D2934">
        <w:rPr>
          <w:rFonts w:ascii="Corbel" w:hAnsi="Corbel"/>
          <w:color w:val="0A2F41" w:themeColor="accent1" w:themeShade="80"/>
          <w:lang w:val="en-US"/>
        </w:rPr>
        <w:t xml:space="preserve"> to realize existing and emerging opportunities across contexts, in order to reduce global GHG emissions by 43 per cent by 2030 and further by 60 per cent by 2035 compared with 2019 levels and reach net zero CO2 emissions by 2050 globally </w:t>
      </w:r>
      <w:r w:rsidR="009F46E0" w:rsidRPr="004D2934">
        <w:rPr>
          <w:rFonts w:ascii="Corbel" w:hAnsi="Corbel"/>
          <w:color w:val="0A2F41" w:themeColor="accent1" w:themeShade="80"/>
          <w:lang w:val="en-US"/>
        </w:rPr>
        <w:t>(Synthesis Report on the technical dialogue of the first Global Stocktake).</w:t>
      </w:r>
    </w:p>
    <w:p w14:paraId="00AFD3F4" w14:textId="10450638" w:rsidR="00167FD0" w:rsidRPr="004D2934" w:rsidRDefault="00167FD0" w:rsidP="00DE6774">
      <w:pPr>
        <w:jc w:val="both"/>
        <w:rPr>
          <w:rFonts w:ascii="Corbel" w:hAnsi="Corbel"/>
          <w:i/>
          <w:iCs/>
          <w:color w:val="0A2F41" w:themeColor="accent1" w:themeShade="80"/>
          <w:lang w:val="en-US"/>
        </w:rPr>
      </w:pPr>
      <w:r w:rsidRPr="004D2934">
        <w:rPr>
          <w:rFonts w:ascii="Corbel" w:hAnsi="Corbel"/>
          <w:i/>
          <w:iCs/>
          <w:color w:val="0A2F41" w:themeColor="accent1" w:themeShade="80"/>
          <w:lang w:val="en-US"/>
        </w:rPr>
        <w:t>Therefore</w:t>
      </w:r>
      <w:r w:rsidR="007E322F" w:rsidRPr="004D2934">
        <w:rPr>
          <w:rFonts w:ascii="Corbel" w:hAnsi="Corbel"/>
          <w:i/>
          <w:iCs/>
          <w:color w:val="0A2F41" w:themeColor="accent1" w:themeShade="80"/>
          <w:lang w:val="en-US"/>
        </w:rPr>
        <w:t>,</w:t>
      </w:r>
    </w:p>
    <w:p w14:paraId="303039B0" w14:textId="00BF2306" w:rsidR="00386C4E" w:rsidRPr="004D2934" w:rsidRDefault="008352BA" w:rsidP="00A26110">
      <w:pPr>
        <w:pStyle w:val="Prrafodelista"/>
        <w:numPr>
          <w:ilvl w:val="0"/>
          <w:numId w:val="6"/>
        </w:numPr>
        <w:jc w:val="both"/>
        <w:rPr>
          <w:rFonts w:ascii="Corbel" w:hAnsi="Corbel"/>
          <w:color w:val="0A2F41" w:themeColor="accent1" w:themeShade="80"/>
          <w:lang w:val="en-US"/>
        </w:rPr>
      </w:pPr>
      <w:bookmarkStart w:id="0" w:name="_Hlk190070082"/>
      <w:proofErr w:type="gramStart"/>
      <w:r w:rsidRPr="004D2934">
        <w:rPr>
          <w:rFonts w:ascii="Corbel" w:hAnsi="Corbel"/>
          <w:color w:val="0A2F41" w:themeColor="accent1" w:themeShade="80"/>
          <w:lang w:val="en-US"/>
        </w:rPr>
        <w:t>Similar to</w:t>
      </w:r>
      <w:proofErr w:type="gramEnd"/>
      <w:r w:rsidRPr="004D2934">
        <w:rPr>
          <w:rFonts w:ascii="Corbel" w:hAnsi="Corbel"/>
          <w:color w:val="0A2F41" w:themeColor="accent1" w:themeShade="80"/>
          <w:lang w:val="en-US"/>
        </w:rPr>
        <w:t xml:space="preserve"> last year, </w:t>
      </w:r>
      <w:r w:rsidR="00313B8D" w:rsidRPr="004D2934">
        <w:rPr>
          <w:rFonts w:ascii="Corbel" w:hAnsi="Corbel"/>
          <w:color w:val="0A2F41" w:themeColor="accent1" w:themeShade="80"/>
          <w:lang w:val="en-US"/>
        </w:rPr>
        <w:t xml:space="preserve">AILAC </w:t>
      </w:r>
      <w:r w:rsidR="00133ECA" w:rsidRPr="004D2934">
        <w:rPr>
          <w:rFonts w:ascii="Corbel" w:hAnsi="Corbel"/>
          <w:color w:val="0A2F41" w:themeColor="accent1" w:themeShade="80"/>
          <w:lang w:val="en-US"/>
        </w:rPr>
        <w:t>underscore</w:t>
      </w:r>
      <w:r w:rsidR="00313B8D" w:rsidRPr="004D2934">
        <w:rPr>
          <w:rFonts w:ascii="Corbel" w:hAnsi="Corbel"/>
          <w:color w:val="0A2F41" w:themeColor="accent1" w:themeShade="80"/>
          <w:lang w:val="en-US"/>
        </w:rPr>
        <w:t>s</w:t>
      </w:r>
      <w:r w:rsidR="00106529" w:rsidRPr="004D2934">
        <w:rPr>
          <w:rFonts w:ascii="Corbel" w:hAnsi="Corbel"/>
          <w:color w:val="0A2F41" w:themeColor="accent1" w:themeShade="80"/>
          <w:lang w:val="en-US"/>
        </w:rPr>
        <w:t xml:space="preserve"> that the most urgent topic for discussion</w:t>
      </w:r>
      <w:r w:rsidR="00937074" w:rsidRPr="004D2934">
        <w:rPr>
          <w:rFonts w:ascii="Corbel" w:hAnsi="Corbel"/>
          <w:color w:val="0A2F41" w:themeColor="accent1" w:themeShade="80"/>
          <w:lang w:val="en-US"/>
        </w:rPr>
        <w:t xml:space="preserve"> for the Global Dialogues under the work programme</w:t>
      </w:r>
      <w:r w:rsidR="00106529" w:rsidRPr="004D2934">
        <w:rPr>
          <w:rFonts w:ascii="Corbel" w:hAnsi="Corbel"/>
          <w:color w:val="0A2F41" w:themeColor="accent1" w:themeShade="80"/>
          <w:lang w:val="en-US"/>
        </w:rPr>
        <w:t xml:space="preserve"> </w:t>
      </w:r>
      <w:r w:rsidRPr="004D2934">
        <w:rPr>
          <w:rFonts w:ascii="Corbel" w:hAnsi="Corbel"/>
          <w:color w:val="0A2F41" w:themeColor="accent1" w:themeShade="80"/>
          <w:lang w:val="en-US"/>
        </w:rPr>
        <w:t xml:space="preserve">is </w:t>
      </w:r>
      <w:r w:rsidR="00FB0A7A" w:rsidRPr="004D2934">
        <w:rPr>
          <w:rFonts w:ascii="Corbel" w:hAnsi="Corbel"/>
          <w:color w:val="0A2F41" w:themeColor="accent1" w:themeShade="80"/>
          <w:u w:val="single"/>
          <w:lang w:val="en-US"/>
        </w:rPr>
        <w:t xml:space="preserve">the transition </w:t>
      </w:r>
      <w:r w:rsidR="00106529" w:rsidRPr="004D2934">
        <w:rPr>
          <w:rFonts w:ascii="Corbel" w:hAnsi="Corbel"/>
          <w:color w:val="0A2F41" w:themeColor="accent1" w:themeShade="80"/>
          <w:u w:val="single"/>
          <w:lang w:val="en-US"/>
        </w:rPr>
        <w:t xml:space="preserve">away from fossil fuels </w:t>
      </w:r>
      <w:proofErr w:type="gramStart"/>
      <w:r w:rsidR="00106529" w:rsidRPr="004D2934">
        <w:rPr>
          <w:rFonts w:ascii="Corbel" w:hAnsi="Corbel"/>
          <w:color w:val="0A2F41" w:themeColor="accent1" w:themeShade="80"/>
          <w:u w:val="single"/>
          <w:lang w:val="en-US"/>
        </w:rPr>
        <w:t>in</w:t>
      </w:r>
      <w:proofErr w:type="gramEnd"/>
      <w:r w:rsidR="00106529" w:rsidRPr="004D2934">
        <w:rPr>
          <w:rFonts w:ascii="Corbel" w:hAnsi="Corbel"/>
          <w:color w:val="0A2F41" w:themeColor="accent1" w:themeShade="80"/>
          <w:u w:val="single"/>
          <w:lang w:val="en-US"/>
        </w:rPr>
        <w:t xml:space="preserve"> energy systems</w:t>
      </w:r>
      <w:r w:rsidR="00AB3911" w:rsidRPr="004D2934">
        <w:rPr>
          <w:rFonts w:ascii="Corbel" w:hAnsi="Corbel"/>
          <w:color w:val="0A2F41" w:themeColor="accent1" w:themeShade="80"/>
          <w:u w:val="single"/>
          <w:lang w:val="en-US"/>
        </w:rPr>
        <w:t xml:space="preserve"> in a just, </w:t>
      </w:r>
      <w:r w:rsidR="003A27DA" w:rsidRPr="004D2934">
        <w:rPr>
          <w:rFonts w:ascii="Corbel" w:hAnsi="Corbel"/>
          <w:color w:val="0A2F41" w:themeColor="accent1" w:themeShade="80"/>
          <w:u w:val="single"/>
          <w:lang w:val="en-US"/>
        </w:rPr>
        <w:t>orderly,</w:t>
      </w:r>
      <w:r w:rsidR="00AB3911" w:rsidRPr="004D2934">
        <w:rPr>
          <w:rFonts w:ascii="Corbel" w:hAnsi="Corbel"/>
          <w:color w:val="0A2F41" w:themeColor="accent1" w:themeShade="80"/>
          <w:u w:val="single"/>
          <w:lang w:val="en-US"/>
        </w:rPr>
        <w:t xml:space="preserve"> and equitable manner</w:t>
      </w:r>
      <w:r w:rsidR="00283BB2" w:rsidRPr="004D2934">
        <w:rPr>
          <w:rFonts w:ascii="Corbel" w:hAnsi="Corbel"/>
          <w:color w:val="0A2F41" w:themeColor="accent1" w:themeShade="80"/>
          <w:lang w:val="en-US"/>
        </w:rPr>
        <w:t>.</w:t>
      </w:r>
    </w:p>
    <w:bookmarkEnd w:id="0"/>
    <w:p w14:paraId="40932D9E" w14:textId="634D6038" w:rsidR="00D46586" w:rsidRPr="004D2934" w:rsidRDefault="00C67ABE" w:rsidP="001402F6">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It is crucial to note that </w:t>
      </w:r>
      <w:r w:rsidR="00463EE0" w:rsidRPr="004D2934">
        <w:rPr>
          <w:rFonts w:ascii="Corbel" w:hAnsi="Corbel"/>
          <w:color w:val="0A2F41" w:themeColor="accent1" w:themeShade="80"/>
          <w:lang w:val="en-US"/>
        </w:rPr>
        <w:t xml:space="preserve">energy </w:t>
      </w:r>
      <w:r w:rsidRPr="004D2934">
        <w:rPr>
          <w:rFonts w:ascii="Corbel" w:hAnsi="Corbel"/>
          <w:color w:val="0A2F41" w:themeColor="accent1" w:themeShade="80"/>
          <w:lang w:val="en-US"/>
        </w:rPr>
        <w:t xml:space="preserve">discussions within the global dialogues have yet to address the transition away from fossil fuels. While the first global dialogue in 2023 primarily concentrated on electricity and emissions management, the critical issue of transitioning </w:t>
      </w:r>
      <w:r w:rsidR="005C3F84" w:rsidRPr="004D2934">
        <w:rPr>
          <w:rFonts w:ascii="Corbel" w:hAnsi="Corbel"/>
          <w:color w:val="0A2F41" w:themeColor="accent1" w:themeShade="80"/>
          <w:lang w:val="en-US"/>
        </w:rPr>
        <w:t xml:space="preserve">away </w:t>
      </w:r>
      <w:r w:rsidRPr="004D2934">
        <w:rPr>
          <w:rFonts w:ascii="Corbel" w:hAnsi="Corbel"/>
          <w:color w:val="0A2F41" w:themeColor="accent1" w:themeShade="80"/>
          <w:lang w:val="en-US"/>
        </w:rPr>
        <w:t>from fossil fuels – the predominant driver of climate change – remains unexplored.</w:t>
      </w:r>
    </w:p>
    <w:p w14:paraId="32B65F07" w14:textId="31B9C851" w:rsidR="00A50B27" w:rsidRPr="004D2934" w:rsidRDefault="00D46586" w:rsidP="00A26110">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Transitioning away from fossil fuels </w:t>
      </w:r>
      <w:r w:rsidR="00CA71E0" w:rsidRPr="004D2934">
        <w:rPr>
          <w:rFonts w:ascii="Corbel" w:hAnsi="Corbel"/>
          <w:color w:val="0A2F41" w:themeColor="accent1" w:themeShade="80"/>
          <w:lang w:val="en-US"/>
        </w:rPr>
        <w:t xml:space="preserve">hold global significance, </w:t>
      </w:r>
      <w:r w:rsidR="00510504" w:rsidRPr="004D2934">
        <w:rPr>
          <w:rFonts w:ascii="Corbel" w:hAnsi="Corbel"/>
          <w:color w:val="0A2F41" w:themeColor="accent1" w:themeShade="80"/>
          <w:lang w:val="en-US"/>
        </w:rPr>
        <w:t xml:space="preserve">has </w:t>
      </w:r>
      <w:r w:rsidR="00AB5EF4" w:rsidRPr="004D2934">
        <w:rPr>
          <w:rFonts w:ascii="Corbel" w:hAnsi="Corbel"/>
          <w:color w:val="0A2F41" w:themeColor="accent1" w:themeShade="80"/>
          <w:lang w:val="en-US"/>
        </w:rPr>
        <w:t xml:space="preserve">a major mitigation potential to 2030 and in the long term, </w:t>
      </w:r>
      <w:r w:rsidR="00510504" w:rsidRPr="004D2934">
        <w:rPr>
          <w:rFonts w:ascii="Corbel" w:hAnsi="Corbel"/>
          <w:color w:val="0A2F41" w:themeColor="accent1" w:themeShade="80"/>
          <w:lang w:val="en-US"/>
        </w:rPr>
        <w:t xml:space="preserve">and offers </w:t>
      </w:r>
      <w:r w:rsidR="00CA71E0" w:rsidRPr="004D2934">
        <w:rPr>
          <w:rFonts w:ascii="Corbel" w:hAnsi="Corbel"/>
          <w:color w:val="0A2F41" w:themeColor="accent1" w:themeShade="80"/>
          <w:lang w:val="en-US"/>
        </w:rPr>
        <w:t xml:space="preserve">substantial potential for replication among </w:t>
      </w:r>
      <w:r w:rsidR="00137F50" w:rsidRPr="004D2934">
        <w:rPr>
          <w:rFonts w:ascii="Corbel" w:hAnsi="Corbel"/>
          <w:color w:val="0A2F41" w:themeColor="accent1" w:themeShade="80"/>
          <w:lang w:val="en-US"/>
        </w:rPr>
        <w:t>P</w:t>
      </w:r>
      <w:r w:rsidR="00CA71E0" w:rsidRPr="004D2934">
        <w:rPr>
          <w:rFonts w:ascii="Corbel" w:hAnsi="Corbel"/>
          <w:color w:val="0A2F41" w:themeColor="accent1" w:themeShade="80"/>
          <w:lang w:val="en-US"/>
        </w:rPr>
        <w:t>arties. Furthermore, this transition aligns with and enhances one of the key outcomes of the Global Stocktake, underscoring its critical importance in the broader climate agenda.</w:t>
      </w:r>
    </w:p>
    <w:p w14:paraId="4051FF70" w14:textId="144D82CF" w:rsidR="003178CD" w:rsidRPr="004D2934" w:rsidRDefault="003178CD" w:rsidP="00A26110">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Pursuant to decision 1CMA/5 </w:t>
      </w:r>
      <w:r w:rsidR="003628DB" w:rsidRPr="004D2934">
        <w:rPr>
          <w:rFonts w:ascii="Corbel" w:hAnsi="Corbel"/>
          <w:color w:val="0A2F41" w:themeColor="accent1" w:themeShade="80"/>
          <w:lang w:val="en-US"/>
        </w:rPr>
        <w:t>para. 74, the dialogue should address the urgency to support the implementation of the Paris Agreement in developing countries</w:t>
      </w:r>
      <w:r w:rsidR="00295ADD" w:rsidRPr="004D2934">
        <w:rPr>
          <w:rFonts w:ascii="Corbel" w:hAnsi="Corbel"/>
          <w:color w:val="0A2F41" w:themeColor="accent1" w:themeShade="80"/>
          <w:lang w:val="en-US"/>
        </w:rPr>
        <w:t>;</w:t>
      </w:r>
      <w:r w:rsidR="0090576D" w:rsidRPr="004D2934">
        <w:rPr>
          <w:rFonts w:ascii="Corbel" w:hAnsi="Corbel"/>
          <w:color w:val="0A2F41" w:themeColor="accent1" w:themeShade="80"/>
          <w:lang w:val="en-US"/>
        </w:rPr>
        <w:t xml:space="preserve"> recognizing that enhanced support for developing country Parties will allow for higher ambition in their actions</w:t>
      </w:r>
      <w:r w:rsidR="001E0414" w:rsidRPr="004D2934">
        <w:rPr>
          <w:rFonts w:ascii="Corbel" w:hAnsi="Corbel"/>
          <w:color w:val="0A2F41" w:themeColor="accent1" w:themeShade="80"/>
          <w:lang w:val="en-US"/>
        </w:rPr>
        <w:t xml:space="preserve"> (Decision 1CMA/5 para. 73).</w:t>
      </w:r>
    </w:p>
    <w:p w14:paraId="5838164E" w14:textId="235EF66D" w:rsidR="00C318A1" w:rsidRPr="004D2934" w:rsidRDefault="00C318A1" w:rsidP="00A26110">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AILAC considers that this Dialogue should be inclusive, </w:t>
      </w:r>
      <w:r w:rsidR="00A60F72" w:rsidRPr="004D2934">
        <w:rPr>
          <w:rFonts w:ascii="Corbel" w:hAnsi="Corbel"/>
          <w:color w:val="0A2F41" w:themeColor="accent1" w:themeShade="80"/>
          <w:lang w:val="en-US"/>
        </w:rPr>
        <w:t xml:space="preserve">ensuring that all views are considered, </w:t>
      </w:r>
      <w:r w:rsidR="00E51F7D" w:rsidRPr="004D2934">
        <w:rPr>
          <w:rFonts w:ascii="Corbel" w:hAnsi="Corbel"/>
          <w:color w:val="0A2F41" w:themeColor="accent1" w:themeShade="80"/>
          <w:lang w:val="en-US"/>
        </w:rPr>
        <w:t>considering</w:t>
      </w:r>
      <w:r w:rsidR="00D46468" w:rsidRPr="004D2934">
        <w:rPr>
          <w:rFonts w:ascii="Corbel" w:hAnsi="Corbel"/>
          <w:color w:val="0A2F41" w:themeColor="accent1" w:themeShade="80"/>
          <w:lang w:val="en-US"/>
        </w:rPr>
        <w:t xml:space="preserve"> the best available science as well as </w:t>
      </w:r>
      <w:r w:rsidR="00870586" w:rsidRPr="004D2934">
        <w:rPr>
          <w:rFonts w:ascii="Corbel" w:hAnsi="Corbel"/>
          <w:color w:val="0A2F41" w:themeColor="accent1" w:themeShade="80"/>
          <w:lang w:val="en-US"/>
        </w:rPr>
        <w:t>sustainable development, poverty eradication needs and equity in line with different national circumstances</w:t>
      </w:r>
      <w:r w:rsidR="005906B0" w:rsidRPr="004D2934">
        <w:rPr>
          <w:rFonts w:ascii="Corbel" w:hAnsi="Corbel"/>
          <w:color w:val="0A2F41" w:themeColor="accent1" w:themeShade="80"/>
          <w:lang w:val="en-US"/>
        </w:rPr>
        <w:t>.</w:t>
      </w:r>
    </w:p>
    <w:p w14:paraId="2C72C2E6" w14:textId="65F3E964" w:rsidR="004E437B" w:rsidRPr="004D2934" w:rsidRDefault="00943057" w:rsidP="009C633A">
      <w:pPr>
        <w:jc w:val="both"/>
        <w:rPr>
          <w:rFonts w:ascii="Corbel" w:hAnsi="Corbel"/>
          <w:color w:val="0A2F41" w:themeColor="accent1" w:themeShade="80"/>
          <w:lang w:val="en-US"/>
        </w:rPr>
      </w:pPr>
      <w:bookmarkStart w:id="1" w:name="_Hlk190070102"/>
      <w:r w:rsidRPr="004D2934">
        <w:rPr>
          <w:rFonts w:ascii="Corbel" w:hAnsi="Corbel"/>
          <w:color w:val="0A2F41" w:themeColor="accent1" w:themeShade="80"/>
          <w:lang w:val="en-US"/>
        </w:rPr>
        <w:t xml:space="preserve">AILAC considers that the Dialogues </w:t>
      </w:r>
      <w:r w:rsidR="00B537E3" w:rsidRPr="004D2934">
        <w:rPr>
          <w:rFonts w:ascii="Corbel" w:hAnsi="Corbel"/>
          <w:color w:val="0A2F41" w:themeColor="accent1" w:themeShade="80"/>
          <w:lang w:val="en-US"/>
        </w:rPr>
        <w:t>could include</w:t>
      </w:r>
      <w:r w:rsidR="001D6F48" w:rsidRPr="004D2934">
        <w:rPr>
          <w:rFonts w:ascii="Corbel" w:hAnsi="Corbel"/>
          <w:color w:val="0A2F41" w:themeColor="accent1" w:themeShade="80"/>
          <w:lang w:val="en-US"/>
        </w:rPr>
        <w:t xml:space="preserve"> the following specific topics</w:t>
      </w:r>
      <w:r w:rsidR="004E437B" w:rsidRPr="004D2934">
        <w:rPr>
          <w:rFonts w:ascii="Corbel" w:hAnsi="Corbel"/>
          <w:color w:val="0A2F41" w:themeColor="accent1" w:themeShade="80"/>
          <w:lang w:val="en-US"/>
        </w:rPr>
        <w:t>:</w:t>
      </w:r>
      <w:r w:rsidRPr="004D2934">
        <w:rPr>
          <w:rFonts w:ascii="Corbel" w:hAnsi="Corbel"/>
          <w:color w:val="0A2F41" w:themeColor="accent1" w:themeShade="80"/>
          <w:lang w:val="en-US"/>
        </w:rPr>
        <w:t xml:space="preserve"> </w:t>
      </w:r>
    </w:p>
    <w:p w14:paraId="267C529F" w14:textId="0D130E46" w:rsidR="007A455C" w:rsidRPr="004D2934" w:rsidRDefault="003D1FA2" w:rsidP="00A26110">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Actionable recommendations focused on i</w:t>
      </w:r>
      <w:r w:rsidR="00D67603" w:rsidRPr="004D2934">
        <w:rPr>
          <w:rFonts w:ascii="Corbel" w:hAnsi="Corbel"/>
          <w:i/>
          <w:iCs/>
          <w:color w:val="0A2F41" w:themeColor="accent1" w:themeShade="80"/>
          <w:lang w:val="en-US"/>
        </w:rPr>
        <w:t>mplementation</w:t>
      </w:r>
      <w:r w:rsidR="00D67603" w:rsidRPr="004D2934">
        <w:rPr>
          <w:rFonts w:ascii="Corbel" w:hAnsi="Corbel"/>
          <w:color w:val="0A2F41" w:themeColor="accent1" w:themeShade="80"/>
          <w:lang w:val="en-US"/>
        </w:rPr>
        <w:t xml:space="preserve">: </w:t>
      </w:r>
      <w:r w:rsidR="00764938" w:rsidRPr="004D2934">
        <w:rPr>
          <w:rFonts w:ascii="Corbel" w:hAnsi="Corbel"/>
          <w:color w:val="0A2F41" w:themeColor="accent1" w:themeShade="80"/>
          <w:lang w:val="en-US"/>
        </w:rPr>
        <w:t>A</w:t>
      </w:r>
      <w:r w:rsidR="007A455C" w:rsidRPr="004D2934">
        <w:rPr>
          <w:rFonts w:ascii="Corbel" w:hAnsi="Corbel"/>
          <w:color w:val="0A2F41" w:themeColor="accent1" w:themeShade="80"/>
          <w:lang w:val="en-US"/>
        </w:rPr>
        <w:t xml:space="preserve"> structured approach aimed </w:t>
      </w:r>
      <w:r w:rsidR="002D4A3D" w:rsidRPr="004D2934">
        <w:rPr>
          <w:rFonts w:ascii="Corbel" w:hAnsi="Corbel"/>
          <w:color w:val="0A2F41" w:themeColor="accent1" w:themeShade="80"/>
          <w:lang w:val="en-US"/>
        </w:rPr>
        <w:t xml:space="preserve">to guide Parties to accelerate </w:t>
      </w:r>
      <w:r w:rsidR="007A455C" w:rsidRPr="004D2934">
        <w:rPr>
          <w:rFonts w:ascii="Corbel" w:hAnsi="Corbel"/>
          <w:color w:val="0A2F41" w:themeColor="accent1" w:themeShade="80"/>
          <w:lang w:val="en-US"/>
        </w:rPr>
        <w:t>implementation</w:t>
      </w:r>
      <w:r w:rsidR="002D4A3D" w:rsidRPr="004D2934">
        <w:rPr>
          <w:rFonts w:ascii="Corbel" w:hAnsi="Corbel"/>
          <w:color w:val="0A2F41" w:themeColor="accent1" w:themeShade="80"/>
          <w:lang w:val="en-US"/>
        </w:rPr>
        <w:t xml:space="preserve"> the transition</w:t>
      </w:r>
      <w:r w:rsidR="007A455C" w:rsidRPr="004D2934">
        <w:rPr>
          <w:rFonts w:ascii="Corbel" w:hAnsi="Corbel"/>
          <w:color w:val="0A2F41" w:themeColor="accent1" w:themeShade="80"/>
          <w:lang w:val="en-US"/>
        </w:rPr>
        <w:t xml:space="preserve">, </w:t>
      </w:r>
      <w:r w:rsidR="002D4A3D" w:rsidRPr="004D2934">
        <w:rPr>
          <w:rFonts w:ascii="Corbel" w:hAnsi="Corbel"/>
          <w:color w:val="0A2F41" w:themeColor="accent1" w:themeShade="80"/>
          <w:lang w:val="en-US"/>
        </w:rPr>
        <w:t xml:space="preserve">including </w:t>
      </w:r>
      <w:r w:rsidR="00755B09" w:rsidRPr="004D2934">
        <w:rPr>
          <w:rFonts w:ascii="Corbel" w:hAnsi="Corbel"/>
          <w:color w:val="0A2F41" w:themeColor="accent1" w:themeShade="80"/>
          <w:lang w:val="en-US"/>
        </w:rPr>
        <w:t>best practices</w:t>
      </w:r>
      <w:r w:rsidR="00DE2E51" w:rsidRPr="004D2934">
        <w:rPr>
          <w:rFonts w:ascii="Corbel" w:hAnsi="Corbel"/>
          <w:color w:val="0A2F41" w:themeColor="accent1" w:themeShade="80"/>
          <w:lang w:val="en-US"/>
        </w:rPr>
        <w:t xml:space="preserve">, specific </w:t>
      </w:r>
      <w:r w:rsidR="00E76EA3" w:rsidRPr="004D2934">
        <w:rPr>
          <w:rFonts w:ascii="Corbel" w:hAnsi="Corbel"/>
          <w:color w:val="0A2F41" w:themeColor="accent1" w:themeShade="80"/>
          <w:lang w:val="en-US"/>
        </w:rPr>
        <w:t xml:space="preserve">policy approaches, </w:t>
      </w:r>
      <w:r w:rsidR="003A27DA" w:rsidRPr="004D2934">
        <w:rPr>
          <w:rFonts w:ascii="Corbel" w:hAnsi="Corbel"/>
          <w:color w:val="0A2F41" w:themeColor="accent1" w:themeShade="80"/>
          <w:lang w:val="en-US"/>
        </w:rPr>
        <w:t>incentives,</w:t>
      </w:r>
      <w:r w:rsidR="00755B09" w:rsidRPr="004D2934">
        <w:rPr>
          <w:rFonts w:ascii="Corbel" w:hAnsi="Corbel"/>
          <w:color w:val="0A2F41" w:themeColor="accent1" w:themeShade="80"/>
          <w:lang w:val="en-US"/>
        </w:rPr>
        <w:t xml:space="preserve"> and </w:t>
      </w:r>
      <w:r w:rsidR="002D4A3D" w:rsidRPr="004D2934">
        <w:rPr>
          <w:rFonts w:ascii="Corbel" w:hAnsi="Corbel"/>
          <w:color w:val="0A2F41" w:themeColor="accent1" w:themeShade="80"/>
          <w:lang w:val="en-US"/>
        </w:rPr>
        <w:t xml:space="preserve">actionable solutions </w:t>
      </w:r>
      <w:r w:rsidR="00537300" w:rsidRPr="004D2934">
        <w:rPr>
          <w:rFonts w:ascii="Corbel" w:hAnsi="Corbel"/>
          <w:color w:val="0A2F41" w:themeColor="accent1" w:themeShade="80"/>
          <w:lang w:val="en-US"/>
        </w:rPr>
        <w:t xml:space="preserve">to overcome existing barriers across infrastructure, policy, </w:t>
      </w:r>
      <w:r w:rsidR="00186055" w:rsidRPr="004D2934">
        <w:rPr>
          <w:rFonts w:ascii="Corbel" w:hAnsi="Corbel"/>
          <w:color w:val="0A2F41" w:themeColor="accent1" w:themeShade="80"/>
          <w:lang w:val="en-US"/>
        </w:rPr>
        <w:t>workforces,</w:t>
      </w:r>
      <w:r w:rsidR="00537300" w:rsidRPr="004D2934">
        <w:rPr>
          <w:rFonts w:ascii="Corbel" w:hAnsi="Corbel"/>
          <w:color w:val="0A2F41" w:themeColor="accent1" w:themeShade="80"/>
          <w:lang w:val="en-US"/>
        </w:rPr>
        <w:t xml:space="preserve"> and institutions.</w:t>
      </w:r>
    </w:p>
    <w:p w14:paraId="6CD53005" w14:textId="73B7F3F1" w:rsidR="00DD54DC" w:rsidRPr="004D2934" w:rsidRDefault="003D1FA2" w:rsidP="00A26110">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E</w:t>
      </w:r>
      <w:r w:rsidR="005C3C35" w:rsidRPr="004D2934">
        <w:rPr>
          <w:rFonts w:ascii="Corbel" w:hAnsi="Corbel"/>
          <w:i/>
          <w:iCs/>
          <w:color w:val="0A2F41" w:themeColor="accent1" w:themeShade="80"/>
          <w:lang w:val="en-US"/>
        </w:rPr>
        <w:t>nablers for the transition</w:t>
      </w:r>
      <w:r w:rsidR="005C3C35" w:rsidRPr="004D2934">
        <w:rPr>
          <w:rFonts w:ascii="Corbel" w:hAnsi="Corbel"/>
          <w:color w:val="0A2F41" w:themeColor="accent1" w:themeShade="80"/>
          <w:lang w:val="en-US"/>
        </w:rPr>
        <w:t xml:space="preserve">: </w:t>
      </w:r>
      <w:r w:rsidR="00866BB8" w:rsidRPr="004D2934">
        <w:rPr>
          <w:rFonts w:ascii="Corbel" w:hAnsi="Corbel"/>
          <w:color w:val="0A2F41" w:themeColor="accent1" w:themeShade="80"/>
          <w:lang w:val="en-US"/>
        </w:rPr>
        <w:t xml:space="preserve">Pursuant to Decision 1/CMA5, para 70, </w:t>
      </w:r>
      <w:r w:rsidR="00BC6A71" w:rsidRPr="004D2934">
        <w:rPr>
          <w:rFonts w:ascii="Corbel" w:hAnsi="Corbel"/>
          <w:color w:val="0A2F41" w:themeColor="accent1" w:themeShade="80"/>
          <w:lang w:val="en-US"/>
        </w:rPr>
        <w:t xml:space="preserve">to </w:t>
      </w:r>
      <w:r w:rsidR="00866BB8" w:rsidRPr="004D2934">
        <w:rPr>
          <w:rFonts w:ascii="Corbel" w:hAnsi="Corbel"/>
          <w:color w:val="0A2F41" w:themeColor="accent1" w:themeShade="80"/>
          <w:lang w:val="en-US"/>
        </w:rPr>
        <w:t xml:space="preserve">discuss </w:t>
      </w:r>
      <w:r w:rsidR="00673004" w:rsidRPr="004D2934">
        <w:rPr>
          <w:rFonts w:ascii="Corbel" w:hAnsi="Corbel"/>
          <w:color w:val="0A2F41" w:themeColor="accent1" w:themeShade="80"/>
          <w:lang w:val="en-US"/>
        </w:rPr>
        <w:t xml:space="preserve">about the enablers </w:t>
      </w:r>
      <w:r w:rsidR="00675669" w:rsidRPr="004D2934">
        <w:rPr>
          <w:rFonts w:ascii="Corbel" w:hAnsi="Corbel"/>
          <w:color w:val="0A2F41" w:themeColor="accent1" w:themeShade="80"/>
          <w:lang w:val="en-US"/>
        </w:rPr>
        <w:t xml:space="preserve">to transition away from fossil fuels for </w:t>
      </w:r>
      <w:r w:rsidR="00673004" w:rsidRPr="004D2934">
        <w:rPr>
          <w:rFonts w:ascii="Corbel" w:hAnsi="Corbel"/>
          <w:color w:val="0A2F41" w:themeColor="accent1" w:themeShade="80"/>
          <w:lang w:val="en-US"/>
        </w:rPr>
        <w:t>different stakeholders</w:t>
      </w:r>
      <w:r w:rsidR="00222009" w:rsidRPr="004D2934">
        <w:rPr>
          <w:rFonts w:ascii="Corbel" w:hAnsi="Corbel"/>
          <w:color w:val="0A2F41" w:themeColor="accent1" w:themeShade="80"/>
          <w:lang w:val="en-US"/>
        </w:rPr>
        <w:t xml:space="preserve">, </w:t>
      </w:r>
      <w:r w:rsidR="00DD54DC" w:rsidRPr="004D2934">
        <w:rPr>
          <w:rFonts w:ascii="Corbel" w:hAnsi="Corbel"/>
          <w:color w:val="0A2F41" w:themeColor="accent1" w:themeShade="80"/>
          <w:lang w:val="en-US"/>
        </w:rPr>
        <w:t>recognizing the role of the private sector</w:t>
      </w:r>
      <w:r w:rsidR="00BC6A71" w:rsidRPr="004D2934">
        <w:rPr>
          <w:rFonts w:ascii="Corbel" w:hAnsi="Corbel"/>
          <w:color w:val="0A2F41" w:themeColor="accent1" w:themeShade="80"/>
          <w:lang w:val="en-US"/>
        </w:rPr>
        <w:t>,</w:t>
      </w:r>
      <w:r w:rsidR="00DD54DC" w:rsidRPr="004D2934">
        <w:rPr>
          <w:rFonts w:ascii="Corbel" w:hAnsi="Corbel"/>
          <w:color w:val="0A2F41" w:themeColor="accent1" w:themeShade="80"/>
          <w:lang w:val="en-US"/>
        </w:rPr>
        <w:t xml:space="preserve"> and the need to strengthen policy guidance, incentives, regulations and enabling conditions to reach the scale of investments required to achieve a global transition towards low greenhouse gas emissions and climate-resilient development</w:t>
      </w:r>
      <w:r w:rsidR="00341F22" w:rsidRPr="004D2934">
        <w:rPr>
          <w:rFonts w:ascii="Corbel" w:hAnsi="Corbel"/>
          <w:color w:val="0A2F41" w:themeColor="accent1" w:themeShade="80"/>
          <w:lang w:val="en-US"/>
        </w:rPr>
        <w:t>.</w:t>
      </w:r>
    </w:p>
    <w:p w14:paraId="43F25244" w14:textId="1C674048" w:rsidR="008D3F79" w:rsidRPr="004D2934" w:rsidRDefault="00A910C1" w:rsidP="00A26110">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Grant-based, h</w:t>
      </w:r>
      <w:r w:rsidR="008D3F79" w:rsidRPr="004D2934">
        <w:rPr>
          <w:rFonts w:ascii="Corbel" w:hAnsi="Corbel"/>
          <w:i/>
          <w:iCs/>
          <w:color w:val="0A2F41" w:themeColor="accent1" w:themeShade="80"/>
          <w:lang w:val="en-US"/>
        </w:rPr>
        <w:t>ighly concessional finance</w:t>
      </w:r>
      <w:r w:rsidR="008D3F79" w:rsidRPr="004D2934">
        <w:rPr>
          <w:rFonts w:ascii="Corbel" w:hAnsi="Corbel"/>
          <w:color w:val="0A2F41" w:themeColor="accent1" w:themeShade="80"/>
          <w:lang w:val="en-US"/>
        </w:rPr>
        <w:t xml:space="preserve">: </w:t>
      </w:r>
      <w:r w:rsidR="00144E8E" w:rsidRPr="004D2934">
        <w:rPr>
          <w:rFonts w:ascii="Corbel" w:hAnsi="Corbel"/>
          <w:color w:val="0A2F41" w:themeColor="accent1" w:themeShade="80"/>
          <w:lang w:val="en-US"/>
        </w:rPr>
        <w:t>Pursuant to Decision 1/CMA5, para 69, f</w:t>
      </w:r>
      <w:r w:rsidR="008D3F79" w:rsidRPr="004D2934">
        <w:rPr>
          <w:rFonts w:ascii="Corbel" w:hAnsi="Corbel"/>
          <w:color w:val="0A2F41" w:themeColor="accent1" w:themeShade="80"/>
          <w:lang w:val="en-US"/>
        </w:rPr>
        <w:t xml:space="preserve">ocus on solutions to scale up new and additional grant-based, highly concessional finance, and non-debt instruments, which are critical to support developing countries, particularly as they transition in a just and equitable manner, recognizing that there is a positive connection </w:t>
      </w:r>
      <w:r w:rsidR="008D3F79" w:rsidRPr="004D2934">
        <w:rPr>
          <w:rFonts w:ascii="Corbel" w:hAnsi="Corbel"/>
          <w:color w:val="0A2F41" w:themeColor="accent1" w:themeShade="80"/>
          <w:lang w:val="en-US"/>
        </w:rPr>
        <w:lastRenderedPageBreak/>
        <w:t>between having sufficient fiscal space, and climate action and advancing on a pathway towards low emissions and climate-resilient development</w:t>
      </w:r>
      <w:r w:rsidR="00144E8E" w:rsidRPr="004D2934">
        <w:rPr>
          <w:rFonts w:ascii="Corbel" w:hAnsi="Corbel"/>
          <w:color w:val="0A2F41" w:themeColor="accent1" w:themeShade="80"/>
          <w:lang w:val="en-US"/>
        </w:rPr>
        <w:t>.</w:t>
      </w:r>
      <w:r w:rsidR="00AE3A5F" w:rsidRPr="004D2934">
        <w:rPr>
          <w:rFonts w:ascii="Corbel" w:hAnsi="Corbel"/>
          <w:color w:val="0A2F41" w:themeColor="accent1" w:themeShade="80"/>
          <w:lang w:val="en-US"/>
        </w:rPr>
        <w:t xml:space="preserve"> </w:t>
      </w:r>
    </w:p>
    <w:p w14:paraId="0941E97D" w14:textId="0DF81B4D" w:rsidR="009879F5" w:rsidRPr="004D2934" w:rsidRDefault="00CA4877" w:rsidP="00A26110">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Focus on m</w:t>
      </w:r>
      <w:r w:rsidR="008828FA" w:rsidRPr="004D2934">
        <w:rPr>
          <w:rFonts w:ascii="Corbel" w:hAnsi="Corbel"/>
          <w:i/>
          <w:iCs/>
          <w:color w:val="0A2F41" w:themeColor="accent1" w:themeShade="80"/>
          <w:lang w:val="en-US"/>
        </w:rPr>
        <w:t>eans of implementation</w:t>
      </w:r>
      <w:r w:rsidR="000B6841" w:rsidRPr="004D2934">
        <w:rPr>
          <w:rFonts w:ascii="Corbel" w:hAnsi="Corbel"/>
          <w:i/>
          <w:iCs/>
          <w:color w:val="0A2F41" w:themeColor="accent1" w:themeShade="80"/>
          <w:lang w:val="en-US"/>
        </w:rPr>
        <w:t xml:space="preserve"> and support</w:t>
      </w:r>
      <w:r w:rsidR="004E437B" w:rsidRPr="004D2934">
        <w:rPr>
          <w:rFonts w:ascii="Corbel" w:hAnsi="Corbel"/>
          <w:color w:val="0A2F41" w:themeColor="accent1" w:themeShade="80"/>
          <w:lang w:val="en-US"/>
        </w:rPr>
        <w:t>:</w:t>
      </w:r>
      <w:r w:rsidR="008828FA" w:rsidRPr="004D2934">
        <w:rPr>
          <w:rFonts w:ascii="Corbel" w:hAnsi="Corbel"/>
          <w:color w:val="0A2F41" w:themeColor="accent1" w:themeShade="80"/>
          <w:lang w:val="en-US"/>
        </w:rPr>
        <w:t xml:space="preserve"> </w:t>
      </w:r>
      <w:r w:rsidR="0033309C" w:rsidRPr="004D2934">
        <w:rPr>
          <w:rFonts w:ascii="Corbel" w:hAnsi="Corbel"/>
          <w:color w:val="0A2F41" w:themeColor="accent1" w:themeShade="80"/>
          <w:lang w:val="en-US"/>
        </w:rPr>
        <w:t xml:space="preserve">The </w:t>
      </w:r>
      <w:r w:rsidR="00B92930" w:rsidRPr="004D2934">
        <w:rPr>
          <w:rFonts w:ascii="Corbel" w:hAnsi="Corbel"/>
          <w:color w:val="0A2F41" w:themeColor="accent1" w:themeShade="80"/>
          <w:lang w:val="en-US"/>
        </w:rPr>
        <w:t xml:space="preserve">Dialogue should delve into solutions that truly unlock adequate and predictable financing for </w:t>
      </w:r>
      <w:r w:rsidR="0033309C" w:rsidRPr="004D2934">
        <w:rPr>
          <w:rFonts w:ascii="Corbel" w:hAnsi="Corbel"/>
          <w:color w:val="0A2F41" w:themeColor="accent1" w:themeShade="80"/>
          <w:lang w:val="en-US"/>
        </w:rPr>
        <w:t xml:space="preserve">developing </w:t>
      </w:r>
      <w:r w:rsidR="00B92930" w:rsidRPr="004D2934">
        <w:rPr>
          <w:rFonts w:ascii="Corbel" w:hAnsi="Corbel"/>
          <w:color w:val="0A2F41" w:themeColor="accent1" w:themeShade="80"/>
          <w:lang w:val="en-US"/>
        </w:rPr>
        <w:t>Parties</w:t>
      </w:r>
      <w:r w:rsidR="00ED2286" w:rsidRPr="004D2934">
        <w:rPr>
          <w:rFonts w:ascii="Corbel" w:hAnsi="Corbel"/>
          <w:color w:val="0A2F41" w:themeColor="accent1" w:themeShade="80"/>
          <w:lang w:val="en-US"/>
        </w:rPr>
        <w:t xml:space="preserve">; </w:t>
      </w:r>
      <w:proofErr w:type="gramStart"/>
      <w:r w:rsidR="00ED2286" w:rsidRPr="004D2934">
        <w:rPr>
          <w:rFonts w:ascii="Corbel" w:hAnsi="Corbel"/>
          <w:color w:val="0A2F41" w:themeColor="accent1" w:themeShade="80"/>
          <w:lang w:val="en-US"/>
        </w:rPr>
        <w:t xml:space="preserve">in particular </w:t>
      </w:r>
      <w:r w:rsidR="0033309C" w:rsidRPr="004D2934">
        <w:rPr>
          <w:rFonts w:ascii="Corbel" w:hAnsi="Corbel"/>
          <w:color w:val="0A2F41" w:themeColor="accent1" w:themeShade="80"/>
          <w:lang w:val="en-US"/>
        </w:rPr>
        <w:t>those</w:t>
      </w:r>
      <w:proofErr w:type="gramEnd"/>
      <w:r w:rsidR="0033309C" w:rsidRPr="004D2934">
        <w:rPr>
          <w:rFonts w:ascii="Corbel" w:hAnsi="Corbel"/>
          <w:color w:val="0A2F41" w:themeColor="accent1" w:themeShade="80"/>
          <w:lang w:val="en-US"/>
        </w:rPr>
        <w:t xml:space="preserve"> </w:t>
      </w:r>
      <w:r w:rsidR="00ED2286" w:rsidRPr="004D2934">
        <w:rPr>
          <w:rFonts w:ascii="Corbel" w:hAnsi="Corbel"/>
          <w:color w:val="0A2F41" w:themeColor="accent1" w:themeShade="80"/>
          <w:lang w:val="en-US"/>
        </w:rPr>
        <w:t>whose economy is heavily dependent on fossil fuels and have limited fiscal space to engage in the transition,</w:t>
      </w:r>
      <w:r w:rsidR="00B92930" w:rsidRPr="004D2934">
        <w:rPr>
          <w:rFonts w:ascii="Corbel" w:hAnsi="Corbel"/>
          <w:color w:val="0A2F41" w:themeColor="accent1" w:themeShade="80"/>
          <w:lang w:val="en-US"/>
        </w:rPr>
        <w:t xml:space="preserve"> to implement their mitigation commitments, aligned with </w:t>
      </w:r>
      <w:r w:rsidR="00CB55F5" w:rsidRPr="004D2934">
        <w:rPr>
          <w:rFonts w:ascii="Corbel" w:hAnsi="Corbel"/>
          <w:color w:val="0A2F41" w:themeColor="accent1" w:themeShade="80"/>
          <w:lang w:val="en-US"/>
        </w:rPr>
        <w:t>New Collective Quantified Goal on Climate Finance</w:t>
      </w:r>
      <w:r w:rsidR="00CB55F5" w:rsidRPr="004D2934" w:rsidDel="00CB55F5">
        <w:rPr>
          <w:rFonts w:ascii="Corbel" w:hAnsi="Corbel"/>
          <w:color w:val="0A2F41" w:themeColor="accent1" w:themeShade="80"/>
          <w:lang w:val="en-US"/>
        </w:rPr>
        <w:t xml:space="preserve"> </w:t>
      </w:r>
      <w:r w:rsidR="00B92930" w:rsidRPr="004D2934">
        <w:rPr>
          <w:rFonts w:ascii="Corbel" w:hAnsi="Corbel"/>
          <w:color w:val="0A2F41" w:themeColor="accent1" w:themeShade="80"/>
          <w:lang w:val="en-US"/>
        </w:rPr>
        <w:t>discussions</w:t>
      </w:r>
      <w:r w:rsidR="00445EF0" w:rsidRPr="004D2934">
        <w:rPr>
          <w:rFonts w:ascii="Corbel" w:hAnsi="Corbel"/>
          <w:color w:val="0A2F41" w:themeColor="accent1" w:themeShade="80"/>
          <w:lang w:val="en-US"/>
        </w:rPr>
        <w:t>,</w:t>
      </w:r>
      <w:r w:rsidR="00B92930" w:rsidRPr="004D2934">
        <w:rPr>
          <w:rFonts w:ascii="Corbel" w:hAnsi="Corbel"/>
          <w:color w:val="0A2F41" w:themeColor="accent1" w:themeShade="80"/>
          <w:lang w:val="en-US"/>
        </w:rPr>
        <w:t xml:space="preserve"> where applicable.</w:t>
      </w:r>
    </w:p>
    <w:p w14:paraId="1FCE7641" w14:textId="3B594A52" w:rsidR="00F16786" w:rsidRPr="004D2934" w:rsidRDefault="00F16786" w:rsidP="00F16786">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Examination of Infrastructure Dynamics:</w:t>
      </w:r>
      <w:r w:rsidRPr="004D2934">
        <w:rPr>
          <w:rFonts w:ascii="Corbel" w:hAnsi="Corbel"/>
          <w:color w:val="0A2F41" w:themeColor="accent1" w:themeShade="80"/>
          <w:lang w:val="en-US"/>
        </w:rPr>
        <w:t xml:space="preserve"> Delving into the construction timelines and operational lifespans of energy infrastructure, alongside the risks associated with stranded assets, to ensure long-term sustainability and economic viability.</w:t>
      </w:r>
    </w:p>
    <w:p w14:paraId="39A89AD6" w14:textId="54DFA862" w:rsidR="00F16786" w:rsidRPr="004D2934" w:rsidRDefault="00F16786" w:rsidP="00F16786">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Fossil Fuel Market Forecasts:</w:t>
      </w:r>
      <w:r w:rsidRPr="004D2934">
        <w:rPr>
          <w:rFonts w:ascii="Corbel" w:hAnsi="Corbel"/>
          <w:color w:val="0A2F41" w:themeColor="accent1" w:themeShade="80"/>
          <w:lang w:val="en-US"/>
        </w:rPr>
        <w:t xml:space="preserve"> </w:t>
      </w:r>
      <w:r w:rsidR="005E63EA" w:rsidRPr="004D2934">
        <w:rPr>
          <w:rFonts w:ascii="Corbel" w:hAnsi="Corbel"/>
          <w:color w:val="0A2F41" w:themeColor="accent1" w:themeShade="80"/>
          <w:lang w:val="en-US"/>
        </w:rPr>
        <w:t>Analysing</w:t>
      </w:r>
      <w:r w:rsidRPr="004D2934">
        <w:rPr>
          <w:rFonts w:ascii="Corbel" w:hAnsi="Corbel"/>
          <w:color w:val="0A2F41" w:themeColor="accent1" w:themeShade="80"/>
          <w:lang w:val="en-US"/>
        </w:rPr>
        <w:t xml:space="preserve"> predictions of fossil fuel demand </w:t>
      </w:r>
      <w:r w:rsidR="00B80CEB" w:rsidRPr="004D2934">
        <w:rPr>
          <w:rFonts w:ascii="Corbel" w:hAnsi="Corbel"/>
          <w:color w:val="0A2F41" w:themeColor="accent1" w:themeShade="80"/>
          <w:lang w:val="en-US"/>
        </w:rPr>
        <w:t>considering</w:t>
      </w:r>
      <w:r w:rsidRPr="004D2934">
        <w:rPr>
          <w:rFonts w:ascii="Corbel" w:hAnsi="Corbel"/>
          <w:color w:val="0A2F41" w:themeColor="accent1" w:themeShade="80"/>
          <w:lang w:val="en-US"/>
        </w:rPr>
        <w:t xml:space="preserve"> global efforts to align with the 1.5°C target, highlighting the transition's implications for both global and regional energy supplies and their providers.</w:t>
      </w:r>
    </w:p>
    <w:p w14:paraId="47F10B41" w14:textId="77777777" w:rsidR="00F16786" w:rsidRPr="004D2934" w:rsidRDefault="00F16786" w:rsidP="005E5559">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Competitive Pricing Analysis:</w:t>
      </w:r>
      <w:r w:rsidRPr="004D2934">
        <w:rPr>
          <w:rFonts w:ascii="Corbel" w:hAnsi="Corbel"/>
          <w:color w:val="0A2F41" w:themeColor="accent1" w:themeShade="80"/>
          <w:lang w:val="en-US"/>
        </w:rPr>
        <w:t xml:space="preserve"> Investigating the cost-effectiveness of alternative energy sources when fossil fuel subsidies are either eliminated or redirected, providing insights into the economic landscape of a post-subsidy energy market.</w:t>
      </w:r>
    </w:p>
    <w:p w14:paraId="52E17617" w14:textId="71E55A22" w:rsidR="00D62FB1" w:rsidRPr="004D2934" w:rsidRDefault="00D62FB1" w:rsidP="00D62FB1">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Subsidies and pricing schemes to accelerate the transition</w:t>
      </w:r>
      <w:r w:rsidRPr="004D2934">
        <w:rPr>
          <w:rFonts w:ascii="Corbel" w:hAnsi="Corbel"/>
          <w:color w:val="0A2F41" w:themeColor="accent1" w:themeShade="80"/>
          <w:lang w:val="en-US"/>
        </w:rPr>
        <w:t xml:space="preserve">: </w:t>
      </w:r>
      <w:r w:rsidR="009754C3" w:rsidRPr="004D2934">
        <w:rPr>
          <w:rFonts w:ascii="Corbel" w:hAnsi="Corbel"/>
          <w:color w:val="0A2F41" w:themeColor="accent1" w:themeShade="80"/>
          <w:lang w:val="en-US"/>
        </w:rPr>
        <w:t>Pursuant to Decision 1/CMA5 para 28</w:t>
      </w:r>
      <w:r w:rsidR="003616C2" w:rsidRPr="004D2934">
        <w:rPr>
          <w:rFonts w:ascii="Corbel" w:hAnsi="Corbel"/>
          <w:color w:val="0A2F41" w:themeColor="accent1" w:themeShade="80"/>
          <w:lang w:val="en-US"/>
        </w:rPr>
        <w:t>h, to d</w:t>
      </w:r>
      <w:r w:rsidRPr="004D2934">
        <w:rPr>
          <w:rFonts w:ascii="Corbel" w:hAnsi="Corbel"/>
          <w:color w:val="0A2F41" w:themeColor="accent1" w:themeShade="80"/>
          <w:lang w:val="en-US"/>
        </w:rPr>
        <w:t>iscuss about the concept of efficiency in fossil fuel subsidies</w:t>
      </w:r>
      <w:r w:rsidR="00C70768" w:rsidRPr="004D2934">
        <w:rPr>
          <w:rFonts w:ascii="Corbel" w:hAnsi="Corbel"/>
          <w:color w:val="0A2F41" w:themeColor="accent1" w:themeShade="80"/>
          <w:lang w:val="en-US"/>
        </w:rPr>
        <w:t xml:space="preserve"> in the context of </w:t>
      </w:r>
      <w:r w:rsidR="009754C3" w:rsidRPr="004D2934">
        <w:rPr>
          <w:rFonts w:ascii="Corbel" w:hAnsi="Corbel"/>
          <w:color w:val="0A2F41" w:themeColor="accent1" w:themeShade="80"/>
          <w:lang w:val="en-US"/>
        </w:rPr>
        <w:t>energy poverty and just transitions,</w:t>
      </w:r>
      <w:r w:rsidRPr="004D2934">
        <w:rPr>
          <w:rFonts w:ascii="Corbel" w:hAnsi="Corbel"/>
          <w:color w:val="0A2F41" w:themeColor="accent1" w:themeShade="80"/>
          <w:lang w:val="en-US"/>
        </w:rPr>
        <w:t xml:space="preserve"> </w:t>
      </w:r>
      <w:r w:rsidR="003616C2" w:rsidRPr="004D2934">
        <w:rPr>
          <w:rFonts w:ascii="Corbel" w:hAnsi="Corbel"/>
          <w:color w:val="0A2F41" w:themeColor="accent1" w:themeShade="80"/>
          <w:lang w:val="en-US"/>
        </w:rPr>
        <w:t xml:space="preserve">as well as </w:t>
      </w:r>
      <w:r w:rsidRPr="004D2934">
        <w:rPr>
          <w:rFonts w:ascii="Corbel" w:hAnsi="Corbel"/>
          <w:color w:val="0A2F41" w:themeColor="accent1" w:themeShade="80"/>
          <w:lang w:val="en-US"/>
        </w:rPr>
        <w:t>different approaches and opportunities to phase-out / phase-down fossil fuel subsidies</w:t>
      </w:r>
      <w:r w:rsidR="00054B43" w:rsidRPr="004D2934">
        <w:rPr>
          <w:rFonts w:ascii="Corbel" w:hAnsi="Corbel"/>
          <w:color w:val="0A2F41" w:themeColor="accent1" w:themeShade="80"/>
          <w:lang w:val="en-US"/>
        </w:rPr>
        <w:t xml:space="preserve">; </w:t>
      </w:r>
      <w:r w:rsidR="003616C2" w:rsidRPr="004D2934">
        <w:rPr>
          <w:rFonts w:ascii="Corbel" w:hAnsi="Corbel"/>
          <w:color w:val="0A2F41" w:themeColor="accent1" w:themeShade="80"/>
          <w:lang w:val="en-US"/>
        </w:rPr>
        <w:t xml:space="preserve">including by </w:t>
      </w:r>
      <w:r w:rsidR="00054B43" w:rsidRPr="004D2934">
        <w:rPr>
          <w:rFonts w:ascii="Corbel" w:hAnsi="Corbel"/>
          <w:color w:val="0A2F41" w:themeColor="accent1" w:themeShade="80"/>
          <w:lang w:val="en-US"/>
        </w:rPr>
        <w:t>revising energy policies and legal frameworks to shift incentives away from fossil fuels, incorporating measures such as energy transition fees, levies, and charges.</w:t>
      </w:r>
    </w:p>
    <w:p w14:paraId="2605A009" w14:textId="5D027D9C" w:rsidR="00B80CEB" w:rsidRPr="004D2934" w:rsidRDefault="00B80CEB" w:rsidP="005E5559">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Fiscal Instruments for Energy Transition:</w:t>
      </w:r>
      <w:r w:rsidRPr="004D2934">
        <w:rPr>
          <w:rFonts w:ascii="Corbel" w:hAnsi="Corbel"/>
          <w:color w:val="0A2F41" w:themeColor="accent1" w:themeShade="80"/>
          <w:lang w:val="en-US"/>
        </w:rPr>
        <w:t xml:space="preserve"> Exploring the implementation of energy transition fees, levies, and charges on fuels as strategic tools to incentivize the shift towards cleaner energy sources</w:t>
      </w:r>
      <w:r w:rsidR="00E03FC5">
        <w:rPr>
          <w:rFonts w:ascii="Corbel" w:hAnsi="Corbel"/>
          <w:color w:val="0A2F41" w:themeColor="accent1" w:themeShade="80"/>
          <w:lang w:val="en-US"/>
        </w:rPr>
        <w:t>, including market-based instruments</w:t>
      </w:r>
      <w:r w:rsidR="0082707D" w:rsidRPr="004D2934">
        <w:rPr>
          <w:rFonts w:ascii="Corbel" w:hAnsi="Corbel"/>
          <w:color w:val="0A2F41" w:themeColor="accent1" w:themeShade="80"/>
          <w:lang w:val="en-US"/>
        </w:rPr>
        <w:t>.</w:t>
      </w:r>
    </w:p>
    <w:p w14:paraId="70F00AE6" w14:textId="6A7DD3F3" w:rsidR="00F16786" w:rsidRPr="004D2934" w:rsidRDefault="00F16786" w:rsidP="005E5559">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 xml:space="preserve">Energy </w:t>
      </w:r>
      <w:r w:rsidR="00C458F9" w:rsidRPr="004D2934">
        <w:rPr>
          <w:rFonts w:ascii="Corbel" w:hAnsi="Corbel"/>
          <w:i/>
          <w:iCs/>
          <w:color w:val="0A2F41" w:themeColor="accent1" w:themeShade="80"/>
          <w:lang w:val="en-US"/>
        </w:rPr>
        <w:t>Security</w:t>
      </w:r>
      <w:r w:rsidRPr="004D2934">
        <w:rPr>
          <w:rFonts w:ascii="Corbel" w:hAnsi="Corbel"/>
          <w:i/>
          <w:iCs/>
          <w:color w:val="0A2F41" w:themeColor="accent1" w:themeShade="80"/>
          <w:lang w:val="en-US"/>
        </w:rPr>
        <w:t>:</w:t>
      </w:r>
      <w:r w:rsidRPr="004D2934">
        <w:rPr>
          <w:rFonts w:ascii="Corbel" w:hAnsi="Corbel"/>
          <w:color w:val="0A2F41" w:themeColor="accent1" w:themeShade="80"/>
          <w:lang w:val="en-US"/>
        </w:rPr>
        <w:t xml:space="preserve"> </w:t>
      </w:r>
      <w:r w:rsidR="005E63EA" w:rsidRPr="004D2934">
        <w:rPr>
          <w:rFonts w:ascii="Corbel" w:hAnsi="Corbel"/>
          <w:color w:val="0A2F41" w:themeColor="accent1" w:themeShade="80"/>
          <w:lang w:val="en-US"/>
        </w:rPr>
        <w:t xml:space="preserve">Analysing </w:t>
      </w:r>
      <w:r w:rsidRPr="004D2934">
        <w:rPr>
          <w:rFonts w:ascii="Corbel" w:hAnsi="Corbel"/>
          <w:color w:val="0A2F41" w:themeColor="accent1" w:themeShade="80"/>
          <w:lang w:val="en-US"/>
        </w:rPr>
        <w:t xml:space="preserve">the operational reliability and downtime of various energy </w:t>
      </w:r>
      <w:r w:rsidR="005E644D" w:rsidRPr="004D2934">
        <w:rPr>
          <w:rFonts w:ascii="Corbel" w:hAnsi="Corbel"/>
          <w:color w:val="0A2F41" w:themeColor="accent1" w:themeShade="80"/>
          <w:lang w:val="en-US"/>
        </w:rPr>
        <w:t>sources</w:t>
      </w:r>
      <w:r w:rsidRPr="004D2934">
        <w:rPr>
          <w:rFonts w:ascii="Corbel" w:hAnsi="Corbel"/>
          <w:color w:val="0A2F41" w:themeColor="accent1" w:themeShade="80"/>
          <w:lang w:val="en-US"/>
        </w:rPr>
        <w:t xml:space="preserve"> to assess their contribution to a stable and secure energy supply.</w:t>
      </w:r>
    </w:p>
    <w:p w14:paraId="48C19EF1" w14:textId="483CD7B9" w:rsidR="003A2852" w:rsidRPr="004D2934" w:rsidRDefault="005E63EA" w:rsidP="005E5559">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E</w:t>
      </w:r>
      <w:r w:rsidR="00643F1F" w:rsidRPr="004D2934">
        <w:rPr>
          <w:rFonts w:ascii="Corbel" w:hAnsi="Corbel"/>
          <w:i/>
          <w:iCs/>
          <w:color w:val="0A2F41" w:themeColor="accent1" w:themeShade="80"/>
          <w:lang w:val="en-US"/>
        </w:rPr>
        <w:t xml:space="preserve">nvironmental </w:t>
      </w:r>
      <w:r w:rsidR="00AD1D55" w:rsidRPr="004D2934">
        <w:rPr>
          <w:rFonts w:ascii="Corbel" w:hAnsi="Corbel"/>
          <w:i/>
          <w:iCs/>
          <w:color w:val="0A2F41" w:themeColor="accent1" w:themeShade="80"/>
          <w:lang w:val="en-US"/>
        </w:rPr>
        <w:t>i</w:t>
      </w:r>
      <w:r w:rsidR="003A2852" w:rsidRPr="004D2934">
        <w:rPr>
          <w:rFonts w:ascii="Corbel" w:hAnsi="Corbel"/>
          <w:i/>
          <w:iCs/>
          <w:color w:val="0A2F41" w:themeColor="accent1" w:themeShade="80"/>
          <w:lang w:val="en-US"/>
        </w:rPr>
        <w:t>mpacts of the transition</w:t>
      </w:r>
      <w:r w:rsidR="009A3F71" w:rsidRPr="004D2934">
        <w:rPr>
          <w:rFonts w:ascii="Corbel" w:hAnsi="Corbel"/>
          <w:color w:val="0A2F41" w:themeColor="accent1" w:themeShade="80"/>
          <w:lang w:val="en-US"/>
        </w:rPr>
        <w:t xml:space="preserve">: Such </w:t>
      </w:r>
      <w:r w:rsidR="00FA3F80" w:rsidRPr="004D2934">
        <w:rPr>
          <w:rFonts w:ascii="Corbel" w:hAnsi="Corbel"/>
          <w:color w:val="0A2F41" w:themeColor="accent1" w:themeShade="80"/>
          <w:lang w:val="en-US"/>
        </w:rPr>
        <w:t xml:space="preserve">as the impacts of increasing </w:t>
      </w:r>
      <w:r w:rsidR="00694E72" w:rsidRPr="004D2934">
        <w:rPr>
          <w:rFonts w:ascii="Corbel" w:hAnsi="Corbel"/>
          <w:color w:val="0A2F41" w:themeColor="accent1" w:themeShade="80"/>
          <w:lang w:val="en-US"/>
        </w:rPr>
        <w:t>mining for energy transition</w:t>
      </w:r>
      <w:r w:rsidR="00984228" w:rsidRPr="004D2934">
        <w:rPr>
          <w:rFonts w:ascii="Corbel" w:hAnsi="Corbel"/>
          <w:color w:val="0A2F41" w:themeColor="accent1" w:themeShade="80"/>
          <w:lang w:val="en-US"/>
        </w:rPr>
        <w:t>, especially in developing countries</w:t>
      </w:r>
      <w:r w:rsidR="00FA3F80" w:rsidRPr="004D2934">
        <w:rPr>
          <w:rFonts w:ascii="Corbel" w:hAnsi="Corbel"/>
          <w:color w:val="0A2F41" w:themeColor="accent1" w:themeShade="80"/>
          <w:lang w:val="en-US"/>
        </w:rPr>
        <w:t xml:space="preserve">; </w:t>
      </w:r>
      <w:r w:rsidR="003152BC" w:rsidRPr="004D2934">
        <w:rPr>
          <w:rFonts w:ascii="Corbel" w:hAnsi="Corbel"/>
          <w:color w:val="0A2F41" w:themeColor="accent1" w:themeShade="80"/>
          <w:lang w:val="en-US"/>
        </w:rPr>
        <w:t>considering</w:t>
      </w:r>
      <w:r w:rsidR="00FA3F80" w:rsidRPr="004D2934">
        <w:rPr>
          <w:rFonts w:ascii="Corbel" w:hAnsi="Corbel"/>
          <w:color w:val="0A2F41" w:themeColor="accent1" w:themeShade="80"/>
          <w:lang w:val="en-US"/>
        </w:rPr>
        <w:t xml:space="preserve"> that mining is one of the main sources of environmental conflicts worldwide.</w:t>
      </w:r>
      <w:r w:rsidR="00A856C6" w:rsidRPr="004D2934">
        <w:rPr>
          <w:rFonts w:ascii="Corbel" w:hAnsi="Corbel"/>
          <w:color w:val="0A2F41" w:themeColor="accent1" w:themeShade="80"/>
          <w:lang w:val="en-US"/>
        </w:rPr>
        <w:t xml:space="preserve"> </w:t>
      </w:r>
    </w:p>
    <w:p w14:paraId="435296F5" w14:textId="389A1CE7" w:rsidR="004115AA" w:rsidRDefault="00043162" w:rsidP="005E5559">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Co-</w:t>
      </w:r>
      <w:r w:rsidR="004115AA" w:rsidRPr="004D2934">
        <w:rPr>
          <w:rFonts w:ascii="Corbel" w:hAnsi="Corbel"/>
          <w:i/>
          <w:iCs/>
          <w:color w:val="0A2F41" w:themeColor="accent1" w:themeShade="80"/>
          <w:lang w:val="en-US"/>
        </w:rPr>
        <w:t>benefits of the transition</w:t>
      </w:r>
      <w:r w:rsidRPr="004D2934">
        <w:rPr>
          <w:rFonts w:ascii="Corbel" w:hAnsi="Corbel"/>
          <w:color w:val="0A2F41" w:themeColor="accent1" w:themeShade="80"/>
          <w:lang w:val="en-US"/>
        </w:rPr>
        <w:t xml:space="preserve">: Such </w:t>
      </w:r>
      <w:r w:rsidR="007D4889" w:rsidRPr="004D2934">
        <w:rPr>
          <w:rFonts w:ascii="Corbel" w:hAnsi="Corbel"/>
          <w:color w:val="0A2F41" w:themeColor="accent1" w:themeShade="80"/>
          <w:lang w:val="en-US"/>
        </w:rPr>
        <w:t>as economic diversification, public health,</w:t>
      </w:r>
      <w:r w:rsidR="00DB61BE" w:rsidRPr="004D2934">
        <w:rPr>
          <w:rFonts w:ascii="Corbel" w:hAnsi="Corbel"/>
          <w:color w:val="0A2F41" w:themeColor="accent1" w:themeShade="80"/>
          <w:lang w:val="en-US"/>
        </w:rPr>
        <w:t xml:space="preserve"> air quality, food security,</w:t>
      </w:r>
      <w:r w:rsidR="007D4889" w:rsidRPr="004D2934">
        <w:rPr>
          <w:rFonts w:ascii="Corbel" w:hAnsi="Corbel"/>
          <w:color w:val="0A2F41" w:themeColor="accent1" w:themeShade="80"/>
          <w:lang w:val="en-US"/>
        </w:rPr>
        <w:t xml:space="preserve"> employment, among others.</w:t>
      </w:r>
    </w:p>
    <w:p w14:paraId="4A48A8B0" w14:textId="28ACC1E4" w:rsidR="005A6707" w:rsidRPr="00E03FC5" w:rsidRDefault="005A6707" w:rsidP="00E03FC5">
      <w:pPr>
        <w:pStyle w:val="Prrafodelista"/>
        <w:numPr>
          <w:ilvl w:val="0"/>
          <w:numId w:val="6"/>
        </w:numPr>
        <w:spacing w:line="278" w:lineRule="auto"/>
        <w:rPr>
          <w:rFonts w:ascii="Corbel" w:hAnsi="Corbel"/>
          <w:color w:val="0A2F41" w:themeColor="accent1" w:themeShade="80"/>
          <w:lang w:val="en-US"/>
        </w:rPr>
      </w:pPr>
      <w:r w:rsidRPr="00E03FC5">
        <w:rPr>
          <w:rFonts w:ascii="Corbel" w:hAnsi="Corbel"/>
          <w:i/>
          <w:iCs/>
          <w:color w:val="0A2F41" w:themeColor="accent1" w:themeShade="80"/>
          <w:lang w:val="en-US"/>
        </w:rPr>
        <w:t>Job transition and workforce development:</w:t>
      </w:r>
      <w:r w:rsidRPr="00E03FC5">
        <w:rPr>
          <w:rFonts w:ascii="Corbel" w:hAnsi="Corbel"/>
          <w:color w:val="0A2F41" w:themeColor="accent1" w:themeShade="80"/>
          <w:lang w:val="en-US"/>
        </w:rPr>
        <w:t xml:space="preserve"> such as assuring that human and social dimensions are adequately addressed in the energy transition efforts. This will guarantee that workers currently employed in fossil fuel industries are not left behind as the world shifts to cleaner and more sustainable energy sources.</w:t>
      </w:r>
    </w:p>
    <w:p w14:paraId="1275848C" w14:textId="48127DF0" w:rsidR="002F535F" w:rsidRPr="004D2934" w:rsidRDefault="00730547" w:rsidP="00922E9E">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The</w:t>
      </w:r>
      <w:r w:rsidR="00D161C8" w:rsidRPr="004D2934">
        <w:rPr>
          <w:rFonts w:ascii="Corbel" w:hAnsi="Corbel"/>
          <w:color w:val="0A2F41" w:themeColor="accent1" w:themeShade="80"/>
          <w:lang w:val="en-US"/>
        </w:rPr>
        <w:t xml:space="preserve"> previous topics can be arranged </w:t>
      </w:r>
      <w:r w:rsidR="00D57067" w:rsidRPr="004D2934">
        <w:rPr>
          <w:rFonts w:ascii="Corbel" w:hAnsi="Corbel"/>
          <w:color w:val="0A2F41" w:themeColor="accent1" w:themeShade="80"/>
          <w:lang w:val="en-US"/>
        </w:rPr>
        <w:t xml:space="preserve">by </w:t>
      </w:r>
      <w:r w:rsidRPr="004D2934">
        <w:rPr>
          <w:rFonts w:ascii="Corbel" w:hAnsi="Corbel"/>
          <w:color w:val="0A2F41" w:themeColor="accent1" w:themeShade="80"/>
          <w:lang w:val="en-US"/>
        </w:rPr>
        <w:t>allocating two days for comprehensive exploration across four thematic areas</w:t>
      </w:r>
      <w:r w:rsidR="00DC217B" w:rsidRPr="004D2934">
        <w:rPr>
          <w:rFonts w:ascii="Corbel" w:hAnsi="Corbel"/>
          <w:color w:val="0A2F41" w:themeColor="accent1" w:themeShade="80"/>
          <w:lang w:val="en-US"/>
        </w:rPr>
        <w:t xml:space="preserve"> to transition away from fossil fuels </w:t>
      </w:r>
      <w:proofErr w:type="gramStart"/>
      <w:r w:rsidR="00DC217B" w:rsidRPr="004D2934">
        <w:rPr>
          <w:rFonts w:ascii="Corbel" w:hAnsi="Corbel"/>
          <w:color w:val="0A2F41" w:themeColor="accent1" w:themeShade="80"/>
          <w:lang w:val="en-US"/>
        </w:rPr>
        <w:t>in</w:t>
      </w:r>
      <w:proofErr w:type="gramEnd"/>
      <w:r w:rsidR="00DC217B" w:rsidRPr="004D2934">
        <w:rPr>
          <w:rFonts w:ascii="Corbel" w:hAnsi="Corbel"/>
          <w:color w:val="0A2F41" w:themeColor="accent1" w:themeShade="80"/>
          <w:lang w:val="en-US"/>
        </w:rPr>
        <w:t xml:space="preserve"> energy systems</w:t>
      </w:r>
      <w:r w:rsidR="002F535F" w:rsidRPr="004D2934">
        <w:rPr>
          <w:rFonts w:ascii="Corbel" w:hAnsi="Corbel"/>
          <w:color w:val="0A2F41" w:themeColor="accent1" w:themeShade="80"/>
          <w:lang w:val="en-US"/>
        </w:rPr>
        <w:t>:</w:t>
      </w:r>
    </w:p>
    <w:p w14:paraId="36F400F0" w14:textId="2C21C08F" w:rsidR="00144115" w:rsidRPr="004D2934" w:rsidRDefault="00DF7899" w:rsidP="00922E9E">
      <w:pPr>
        <w:pStyle w:val="Prrafodelista"/>
        <w:numPr>
          <w:ilvl w:val="0"/>
          <w:numId w:val="9"/>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Policy and Economic Frameworks for </w:t>
      </w:r>
      <w:r w:rsidR="00C75DB5" w:rsidRPr="004D2934">
        <w:rPr>
          <w:rFonts w:ascii="Corbel" w:hAnsi="Corbel"/>
          <w:color w:val="0A2F41" w:themeColor="accent1" w:themeShade="80"/>
          <w:lang w:val="en-US"/>
        </w:rPr>
        <w:t xml:space="preserve">the </w:t>
      </w:r>
      <w:r w:rsidR="00616B38" w:rsidRPr="004D2934">
        <w:rPr>
          <w:rFonts w:ascii="Corbel" w:hAnsi="Corbel"/>
          <w:color w:val="0A2F41" w:themeColor="accent1" w:themeShade="80"/>
          <w:lang w:val="en-US"/>
        </w:rPr>
        <w:t>t</w:t>
      </w:r>
      <w:r w:rsidRPr="004D2934">
        <w:rPr>
          <w:rFonts w:ascii="Corbel" w:hAnsi="Corbel"/>
          <w:color w:val="0A2F41" w:themeColor="accent1" w:themeShade="80"/>
          <w:lang w:val="en-US"/>
        </w:rPr>
        <w:t>ransition</w:t>
      </w:r>
    </w:p>
    <w:p w14:paraId="48E7FC95" w14:textId="48A9E51A" w:rsidR="00DF7899" w:rsidRPr="004D2934" w:rsidRDefault="00DF7899" w:rsidP="00922E9E">
      <w:pPr>
        <w:pStyle w:val="Prrafodelista"/>
        <w:numPr>
          <w:ilvl w:val="0"/>
          <w:numId w:val="9"/>
        </w:numPr>
        <w:jc w:val="both"/>
        <w:rPr>
          <w:rFonts w:ascii="Corbel" w:hAnsi="Corbel"/>
          <w:color w:val="0A2F41" w:themeColor="accent1" w:themeShade="80"/>
          <w:lang w:val="en-US"/>
        </w:rPr>
      </w:pPr>
      <w:r w:rsidRPr="004D2934">
        <w:rPr>
          <w:rFonts w:ascii="Corbel" w:hAnsi="Corbel"/>
          <w:color w:val="0A2F41" w:themeColor="accent1" w:themeShade="80"/>
          <w:lang w:val="en-US"/>
        </w:rPr>
        <w:t>Financing and Support Mechanisms</w:t>
      </w:r>
      <w:r w:rsidR="00616B38" w:rsidRPr="004D2934">
        <w:rPr>
          <w:rFonts w:ascii="Corbel" w:hAnsi="Corbel"/>
          <w:color w:val="0A2F41" w:themeColor="accent1" w:themeShade="80"/>
          <w:lang w:val="en-US"/>
        </w:rPr>
        <w:t xml:space="preserve"> for the transition</w:t>
      </w:r>
    </w:p>
    <w:p w14:paraId="13D56F9C" w14:textId="05DFD65A" w:rsidR="00E35ADD" w:rsidRPr="004D2934" w:rsidRDefault="00861915" w:rsidP="00922E9E">
      <w:pPr>
        <w:pStyle w:val="Prrafodelista"/>
        <w:numPr>
          <w:ilvl w:val="0"/>
          <w:numId w:val="9"/>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Infrastructure and </w:t>
      </w:r>
      <w:r w:rsidR="00E35ADD" w:rsidRPr="004D2934">
        <w:rPr>
          <w:rFonts w:ascii="Corbel" w:hAnsi="Corbel"/>
          <w:color w:val="0A2F41" w:themeColor="accent1" w:themeShade="80"/>
          <w:lang w:val="en-US"/>
        </w:rPr>
        <w:t xml:space="preserve">Market Dynamics </w:t>
      </w:r>
      <w:r w:rsidR="003152BC" w:rsidRPr="004D2934">
        <w:rPr>
          <w:rFonts w:ascii="Corbel" w:hAnsi="Corbel"/>
          <w:color w:val="0A2F41" w:themeColor="accent1" w:themeShade="80"/>
          <w:lang w:val="en-US"/>
        </w:rPr>
        <w:t>of</w:t>
      </w:r>
      <w:r w:rsidR="00616B38" w:rsidRPr="004D2934">
        <w:rPr>
          <w:rFonts w:ascii="Corbel" w:hAnsi="Corbel"/>
          <w:color w:val="0A2F41" w:themeColor="accent1" w:themeShade="80"/>
          <w:lang w:val="en-US"/>
        </w:rPr>
        <w:t xml:space="preserve"> the transition</w:t>
      </w:r>
    </w:p>
    <w:p w14:paraId="54EECEF6" w14:textId="5AB27AC5" w:rsidR="00E35ADD" w:rsidRPr="004D2934" w:rsidRDefault="00E35ADD" w:rsidP="00922E9E">
      <w:pPr>
        <w:pStyle w:val="Prrafodelista"/>
        <w:numPr>
          <w:ilvl w:val="0"/>
          <w:numId w:val="9"/>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Environmental and Societal Impacts of </w:t>
      </w:r>
      <w:r w:rsidR="00C75DB5" w:rsidRPr="004D2934">
        <w:rPr>
          <w:rFonts w:ascii="Corbel" w:hAnsi="Corbel"/>
          <w:color w:val="0A2F41" w:themeColor="accent1" w:themeShade="80"/>
          <w:lang w:val="en-US"/>
        </w:rPr>
        <w:t xml:space="preserve">the </w:t>
      </w:r>
      <w:r w:rsidR="003152BC" w:rsidRPr="004D2934">
        <w:rPr>
          <w:rFonts w:ascii="Corbel" w:hAnsi="Corbel"/>
          <w:color w:val="0A2F41" w:themeColor="accent1" w:themeShade="80"/>
          <w:lang w:val="en-US"/>
        </w:rPr>
        <w:t>t</w:t>
      </w:r>
      <w:r w:rsidRPr="004D2934">
        <w:rPr>
          <w:rFonts w:ascii="Corbel" w:hAnsi="Corbel"/>
          <w:color w:val="0A2F41" w:themeColor="accent1" w:themeShade="80"/>
          <w:lang w:val="en-US"/>
        </w:rPr>
        <w:t>ransition</w:t>
      </w:r>
    </w:p>
    <w:bookmarkEnd w:id="1"/>
    <w:p w14:paraId="0357166F" w14:textId="77777777" w:rsidR="0082707D" w:rsidRPr="004D2934" w:rsidRDefault="0082707D" w:rsidP="00922E9E">
      <w:pPr>
        <w:pStyle w:val="Prrafodelista"/>
        <w:jc w:val="both"/>
        <w:rPr>
          <w:rFonts w:ascii="Corbel" w:hAnsi="Corbel"/>
          <w:color w:val="0A2F41" w:themeColor="accent1" w:themeShade="80"/>
          <w:lang w:val="en-US"/>
        </w:rPr>
      </w:pPr>
    </w:p>
    <w:p w14:paraId="4CBD0A5B" w14:textId="77777777" w:rsidR="003A27DA" w:rsidRPr="004D2934" w:rsidRDefault="003A27DA" w:rsidP="00922E9E">
      <w:pPr>
        <w:pStyle w:val="Prrafodelista"/>
        <w:jc w:val="both"/>
        <w:rPr>
          <w:rFonts w:ascii="Corbel" w:hAnsi="Corbel"/>
          <w:color w:val="0A2F41" w:themeColor="accent1" w:themeShade="80"/>
          <w:lang w:val="en-US"/>
        </w:rPr>
      </w:pPr>
    </w:p>
    <w:p w14:paraId="39E68B05" w14:textId="56696AEA" w:rsidR="00EF5A48" w:rsidRPr="004D2934" w:rsidRDefault="001F3FCB" w:rsidP="00C34A46">
      <w:pPr>
        <w:pStyle w:val="Prrafodelista"/>
        <w:numPr>
          <w:ilvl w:val="0"/>
          <w:numId w:val="7"/>
        </w:numPr>
        <w:ind w:left="426"/>
        <w:jc w:val="both"/>
        <w:rPr>
          <w:rFonts w:ascii="Corbel" w:hAnsi="Corbel"/>
          <w:b/>
          <w:bCs/>
          <w:color w:val="0A2F41" w:themeColor="accent1" w:themeShade="80"/>
          <w:sz w:val="24"/>
          <w:szCs w:val="24"/>
          <w:lang w:val="en-US"/>
        </w:rPr>
      </w:pPr>
      <w:r w:rsidRPr="004D2934">
        <w:rPr>
          <w:rFonts w:ascii="Corbel" w:hAnsi="Corbel"/>
          <w:b/>
          <w:bCs/>
          <w:color w:val="0A2F41" w:themeColor="accent1" w:themeShade="80"/>
          <w:sz w:val="24"/>
          <w:szCs w:val="24"/>
          <w:lang w:val="en-US"/>
        </w:rPr>
        <w:lastRenderedPageBreak/>
        <w:t>Scaling up mitigation action towards conservation, protection and restoration of nature and ecosystems</w:t>
      </w:r>
    </w:p>
    <w:p w14:paraId="19413A56" w14:textId="77777777" w:rsidR="00322A48" w:rsidRPr="004D2934" w:rsidRDefault="00322A48" w:rsidP="00DE6774">
      <w:pPr>
        <w:jc w:val="both"/>
        <w:rPr>
          <w:rFonts w:ascii="Corbel" w:hAnsi="Corbel"/>
          <w:i/>
          <w:iCs/>
          <w:color w:val="0A2F41" w:themeColor="accent1" w:themeShade="80"/>
          <w:lang w:val="en-US"/>
        </w:rPr>
      </w:pPr>
      <w:r w:rsidRPr="004D2934">
        <w:rPr>
          <w:rFonts w:ascii="Corbel" w:hAnsi="Corbel"/>
          <w:i/>
          <w:iCs/>
          <w:color w:val="0A2F41" w:themeColor="accent1" w:themeShade="80"/>
          <w:lang w:val="en-US"/>
        </w:rPr>
        <w:t xml:space="preserve">Considering that: </w:t>
      </w:r>
    </w:p>
    <w:p w14:paraId="75E3F220" w14:textId="6C709AA4" w:rsidR="006A081C" w:rsidRPr="004D2934" w:rsidRDefault="006A081C" w:rsidP="00A26110">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Parties should take action to conserve and enhance, as appropriate, sinks and reservoirs of greenhouse gases as referred to in Article 4, paragraph 1 (d), of the Convention, including forests (Paris Agreement, article 5.1)</w:t>
      </w:r>
      <w:r w:rsidR="00915E6E" w:rsidRPr="004D2934">
        <w:rPr>
          <w:rFonts w:ascii="Corbel" w:hAnsi="Corbel"/>
          <w:color w:val="0A2F41" w:themeColor="accent1" w:themeShade="80"/>
          <w:lang w:val="en-US"/>
        </w:rPr>
        <w:t>.</w:t>
      </w:r>
    </w:p>
    <w:p w14:paraId="74975DF0" w14:textId="25D77DFB" w:rsidR="00FE5F5E" w:rsidRPr="004D2934" w:rsidRDefault="00FE5F5E" w:rsidP="00A26110">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Parties are encouraged to take action to implement and support, including through results-based payments, the existing framework as set out in related guidance and decisions already agreed under the Convention for policy approaches and positive incentives for activities relating to reducing emissions from deforestation and forest degradation, and the role of conservation, sustainable management of forests and enhancement of forest carbon stocks in developing countries; and alternative policy approaches, such as joint mitigation and adaptation approaches for the integral and sustainable management of forests, while reaffirming the importance of incentivizing, as appropriate, non-carbon benefits associated with such approaches</w:t>
      </w:r>
      <w:r w:rsidR="000A6E20" w:rsidRPr="004D2934">
        <w:rPr>
          <w:rFonts w:ascii="Corbel" w:hAnsi="Corbel"/>
          <w:color w:val="0A2F41" w:themeColor="accent1" w:themeShade="80"/>
          <w:lang w:val="en-US"/>
        </w:rPr>
        <w:t xml:space="preserve"> (Paris Agreement, article 5.2)</w:t>
      </w:r>
    </w:p>
    <w:p w14:paraId="0EC43C12" w14:textId="0CA17943" w:rsidR="00322A48" w:rsidRPr="004D2934" w:rsidRDefault="00D76A42" w:rsidP="00A26110">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The Global Stocktake highlights the importance </w:t>
      </w:r>
      <w:r w:rsidR="00323196" w:rsidRPr="004D2934">
        <w:rPr>
          <w:rFonts w:ascii="Corbel" w:hAnsi="Corbel"/>
          <w:color w:val="0A2F41" w:themeColor="accent1" w:themeShade="80"/>
          <w:lang w:val="en-US"/>
        </w:rPr>
        <w:t xml:space="preserve">to ensure </w:t>
      </w:r>
      <w:r w:rsidR="00417638" w:rsidRPr="004D2934">
        <w:rPr>
          <w:rFonts w:ascii="Corbel" w:hAnsi="Corbel"/>
          <w:color w:val="0A2F41" w:themeColor="accent1" w:themeShade="80"/>
          <w:lang w:val="en-US"/>
        </w:rPr>
        <w:t xml:space="preserve">the integrity of all ecosystems, including in forests, the ocean, mountains and the cryosphere, and the protection of biodiversity, recognized by some cultures as Mother Earth, </w:t>
      </w:r>
      <w:r w:rsidR="00FA53F1" w:rsidRPr="004D2934">
        <w:rPr>
          <w:rFonts w:ascii="Corbel" w:hAnsi="Corbel"/>
          <w:color w:val="0A2F41" w:themeColor="accent1" w:themeShade="80"/>
          <w:lang w:val="en-US"/>
        </w:rPr>
        <w:t>and</w:t>
      </w:r>
      <w:r w:rsidR="00417638" w:rsidRPr="004D2934">
        <w:rPr>
          <w:rFonts w:ascii="Corbel" w:hAnsi="Corbel"/>
          <w:color w:val="0A2F41" w:themeColor="accent1" w:themeShade="80"/>
          <w:lang w:val="en-US"/>
        </w:rPr>
        <w:t xml:space="preserve"> noting the importance of ‘climate justice’, when taking action to address climate change</w:t>
      </w:r>
      <w:r w:rsidR="00411ADE" w:rsidRPr="004D2934">
        <w:rPr>
          <w:rFonts w:ascii="Corbel" w:hAnsi="Corbel"/>
          <w:color w:val="0A2F41" w:themeColor="accent1" w:themeShade="80"/>
          <w:lang w:val="en-US"/>
        </w:rPr>
        <w:t xml:space="preserve"> (1/CMA5</w:t>
      </w:r>
      <w:r w:rsidR="00823456" w:rsidRPr="004D2934">
        <w:rPr>
          <w:rFonts w:ascii="Corbel" w:hAnsi="Corbel"/>
          <w:color w:val="0A2F41" w:themeColor="accent1" w:themeShade="80"/>
          <w:lang w:val="en-US"/>
        </w:rPr>
        <w:t>, preamble</w:t>
      </w:r>
      <w:r w:rsidR="00411ADE" w:rsidRPr="004D2934">
        <w:rPr>
          <w:rFonts w:ascii="Corbel" w:hAnsi="Corbel"/>
          <w:color w:val="0A2F41" w:themeColor="accent1" w:themeShade="80"/>
          <w:lang w:val="en-US"/>
        </w:rPr>
        <w:t>).</w:t>
      </w:r>
    </w:p>
    <w:p w14:paraId="17202F7B" w14:textId="2CBC3A78" w:rsidR="00F37B81" w:rsidRPr="004D2934" w:rsidRDefault="00323196" w:rsidP="00A26110">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There is an urgent </w:t>
      </w:r>
      <w:r w:rsidR="00F37B81" w:rsidRPr="004D2934">
        <w:rPr>
          <w:rFonts w:ascii="Corbel" w:hAnsi="Corbel"/>
          <w:color w:val="0A2F41" w:themeColor="accent1" w:themeShade="80"/>
          <w:lang w:val="en-US"/>
        </w:rPr>
        <w:t>need to address, in a comprehensive and synergetic manner, the interlinked global crises of climate change and biodiversity loss in the broader context of achieving the Sustainable Development Goals, as well as the vital importance of protecting, conserving, restoring and sustainably using nature and ecosystems for effective and sustainable climate action (1/CMA5, preamble).</w:t>
      </w:r>
    </w:p>
    <w:p w14:paraId="6E0D038E" w14:textId="748447B3" w:rsidR="00411ADE" w:rsidRPr="004D2934" w:rsidRDefault="00E007FB" w:rsidP="00A26110">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The Global Stocktake </w:t>
      </w:r>
      <w:r w:rsidR="00D76A42" w:rsidRPr="004D2934">
        <w:rPr>
          <w:rFonts w:ascii="Corbel" w:hAnsi="Corbel"/>
          <w:color w:val="0A2F41" w:themeColor="accent1" w:themeShade="80"/>
          <w:lang w:val="en-US"/>
        </w:rPr>
        <w:t>highlights the importance</w:t>
      </w:r>
      <w:r w:rsidR="00323196" w:rsidRPr="004D2934">
        <w:rPr>
          <w:rFonts w:ascii="Corbel" w:hAnsi="Corbel"/>
          <w:color w:val="0A2F41" w:themeColor="accent1" w:themeShade="80"/>
          <w:lang w:val="en-US"/>
        </w:rPr>
        <w:t xml:space="preserve"> to </w:t>
      </w:r>
      <w:r w:rsidR="00823456" w:rsidRPr="004D2934">
        <w:rPr>
          <w:rFonts w:ascii="Corbel" w:hAnsi="Corbel"/>
          <w:color w:val="0A2F41" w:themeColor="accent1" w:themeShade="80"/>
          <w:lang w:val="en-US"/>
        </w:rPr>
        <w:t>conserv</w:t>
      </w:r>
      <w:r w:rsidR="00323196" w:rsidRPr="004D2934">
        <w:rPr>
          <w:rFonts w:ascii="Corbel" w:hAnsi="Corbel"/>
          <w:color w:val="0A2F41" w:themeColor="accent1" w:themeShade="80"/>
          <w:lang w:val="en-US"/>
        </w:rPr>
        <w:t>e</w:t>
      </w:r>
      <w:r w:rsidR="00823456" w:rsidRPr="004D2934">
        <w:rPr>
          <w:rFonts w:ascii="Corbel" w:hAnsi="Corbel"/>
          <w:color w:val="0A2F41" w:themeColor="accent1" w:themeShade="80"/>
          <w:lang w:val="en-US"/>
        </w:rPr>
        <w:t>, protect and restor</w:t>
      </w:r>
      <w:r w:rsidR="00323196" w:rsidRPr="004D2934">
        <w:rPr>
          <w:rFonts w:ascii="Corbel" w:hAnsi="Corbel"/>
          <w:color w:val="0A2F41" w:themeColor="accent1" w:themeShade="80"/>
          <w:lang w:val="en-US"/>
        </w:rPr>
        <w:t>e</w:t>
      </w:r>
      <w:r w:rsidR="00823456" w:rsidRPr="004D2934">
        <w:rPr>
          <w:rFonts w:ascii="Corbel" w:hAnsi="Corbel"/>
          <w:color w:val="0A2F41" w:themeColor="accent1" w:themeShade="80"/>
          <w:lang w:val="en-US"/>
        </w:rPr>
        <w:t xml:space="preserve"> nature and ecosystems towards achieving the Paris Agreement temperature goal, including through enhanced efforts towards halting and reversing deforestation and forest degradation by 2030, and other terrestrial and marine ecosystems acting as sinks and reservoirs of greenhouse gases and by conserving biodiversity, while ensuring social and environmental safeguards, in line with the Kunming-Montreal Global Biodiversity Framework (1/CMA5, para </w:t>
      </w:r>
      <w:r w:rsidR="00886AB3" w:rsidRPr="004D2934">
        <w:rPr>
          <w:rFonts w:ascii="Corbel" w:hAnsi="Corbel"/>
          <w:color w:val="0A2F41" w:themeColor="accent1" w:themeShade="80"/>
          <w:lang w:val="en-US"/>
        </w:rPr>
        <w:t>33).</w:t>
      </w:r>
    </w:p>
    <w:p w14:paraId="0C790C4A" w14:textId="77777777" w:rsidR="0089437C" w:rsidRPr="004D2934" w:rsidRDefault="0089437C" w:rsidP="0089437C">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Ecosystems such as forests, peatlands, wetlands, and marine environments are vital in sequestering carbon dioxide from the atmosphere, thus playing a significant role in mitigating climate change. The AR6 emphasizes that intact ecosystems are among the most effective carbon sinks, with forests alone absorbing approximately one-third of CO2 emissions from fossil fuels and industry annually.</w:t>
      </w:r>
    </w:p>
    <w:p w14:paraId="1AD9223D" w14:textId="77777777" w:rsidR="0089437C" w:rsidRPr="004D2934" w:rsidRDefault="0089437C" w:rsidP="0089437C">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Biodiversity underpins ecosystem functionality and resilience, providing essential services such as water purification, pollination, disease control, and climate regulation. The AR6 and the Global Assessment Report on Biodiversity and Ecosystem Services by IPBES (Intergovernmental Science-Policy Platform on Biodiversity and Ecosystem Services) both highlight the critical link between biodiversity, ecosystem services, and human well-being.</w:t>
      </w:r>
    </w:p>
    <w:p w14:paraId="17035036" w14:textId="77777777" w:rsidR="0089437C" w:rsidRPr="004D2934" w:rsidRDefault="0089437C" w:rsidP="0089437C">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Accelerated actions this decade to mitigate climate change, while halting and reversing deforestation, hold global significance, especially for developing countries; with the </w:t>
      </w:r>
      <w:r w:rsidRPr="004D2934">
        <w:rPr>
          <w:rFonts w:ascii="Corbel" w:hAnsi="Corbel"/>
          <w:color w:val="0A2F41" w:themeColor="accent1" w:themeShade="80"/>
          <w:lang w:val="en-US"/>
        </w:rPr>
        <w:lastRenderedPageBreak/>
        <w:t>strategies and solutions offering substantial potential for replication among Parties. Furthermore, this transition aligns with and enhances one of the key outcomes of the Global Stocktake, underscoring its critical importance in the broader climate agenda.</w:t>
      </w:r>
    </w:p>
    <w:p w14:paraId="3F60F83B" w14:textId="18FA4FEA" w:rsidR="0089437C" w:rsidRPr="004D2934" w:rsidRDefault="0089437C" w:rsidP="0089437C">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The Decision adopted by the Conference of the Parties to the Convention on Biological Diversity in 2024, </w:t>
      </w:r>
      <w:proofErr w:type="gramStart"/>
      <w:r w:rsidRPr="004D2934">
        <w:rPr>
          <w:rFonts w:ascii="Corbel" w:hAnsi="Corbel"/>
          <w:color w:val="0A2F41" w:themeColor="accent1" w:themeShade="80"/>
          <w:lang w:val="en-US"/>
        </w:rPr>
        <w:t>in particular decision</w:t>
      </w:r>
      <w:proofErr w:type="gramEnd"/>
      <w:r w:rsidRPr="004D2934">
        <w:rPr>
          <w:rFonts w:ascii="Corbel" w:hAnsi="Corbel"/>
          <w:color w:val="0A2F41" w:themeColor="accent1" w:themeShade="80"/>
          <w:lang w:val="en-US"/>
        </w:rPr>
        <w:t xml:space="preserve"> 16/22 on Biodiversity and Climate Change, establishes the importance of addressing the climate crisis and biodiversity loss in an integrated manner, </w:t>
      </w:r>
      <w:r w:rsidR="00542155" w:rsidRPr="004D2934">
        <w:rPr>
          <w:rFonts w:ascii="Corbel" w:hAnsi="Corbel"/>
          <w:color w:val="0A2F41" w:themeColor="accent1" w:themeShade="80"/>
          <w:lang w:val="en-US"/>
        </w:rPr>
        <w:t>and underscores that the conservation and restoration of ecosystems are essential components for climate change mitigation and adaptation</w:t>
      </w:r>
      <w:r w:rsidRPr="004D2934">
        <w:rPr>
          <w:rFonts w:ascii="Corbel" w:hAnsi="Corbel"/>
          <w:color w:val="0A2F41" w:themeColor="accent1" w:themeShade="80"/>
          <w:lang w:val="en-US"/>
        </w:rPr>
        <w:t>.</w:t>
      </w:r>
    </w:p>
    <w:p w14:paraId="7528D71E" w14:textId="77777777" w:rsidR="0089437C" w:rsidRPr="004D2934" w:rsidRDefault="0089437C" w:rsidP="0089437C">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According to Decision 16/22 under the Convention of Biological Diversity, it will be important to recognize the following:</w:t>
      </w:r>
    </w:p>
    <w:p w14:paraId="3AD1A03F" w14:textId="77777777" w:rsidR="0089437C" w:rsidRPr="004D2934" w:rsidRDefault="0089437C" w:rsidP="0089437C">
      <w:pPr>
        <w:pStyle w:val="Prrafodelista"/>
        <w:numPr>
          <w:ilvl w:val="0"/>
          <w:numId w:val="12"/>
        </w:numPr>
        <w:jc w:val="both"/>
        <w:rPr>
          <w:rFonts w:ascii="Corbel" w:hAnsi="Corbel"/>
          <w:color w:val="0A2F41" w:themeColor="accent1" w:themeShade="80"/>
          <w:lang w:val="en-US"/>
        </w:rPr>
      </w:pPr>
      <w:r w:rsidRPr="004D2934">
        <w:rPr>
          <w:rFonts w:ascii="Corbel" w:hAnsi="Corbel"/>
          <w:color w:val="0A2F41" w:themeColor="accent1" w:themeShade="80"/>
          <w:lang w:val="en-US"/>
        </w:rPr>
        <w:t>Role of ecosystems in mitigation: Protecting and restoring key habitats (forests, wetlands, mangroves, etc.) is a proven mechanism for carbon capture and storage, bringing resilience benefits for both society and biodiversity.</w:t>
      </w:r>
    </w:p>
    <w:p w14:paraId="1DB34489" w14:textId="77777777" w:rsidR="00477B55" w:rsidRPr="004D2934" w:rsidRDefault="0089437C" w:rsidP="00477B55">
      <w:pPr>
        <w:pStyle w:val="Prrafodelista"/>
        <w:numPr>
          <w:ilvl w:val="0"/>
          <w:numId w:val="12"/>
        </w:numPr>
        <w:jc w:val="both"/>
        <w:rPr>
          <w:rFonts w:ascii="Corbel" w:hAnsi="Corbel"/>
          <w:color w:val="0A2F41" w:themeColor="accent1" w:themeShade="80"/>
          <w:lang w:val="en-US"/>
        </w:rPr>
      </w:pPr>
      <w:r w:rsidRPr="004D2934">
        <w:rPr>
          <w:rFonts w:ascii="Corbel" w:hAnsi="Corbel"/>
          <w:color w:val="0A2F41" w:themeColor="accent1" w:themeShade="80"/>
          <w:lang w:val="en-US"/>
        </w:rPr>
        <w:t>Need for safeguards and participation: Mitigation actions must be based on guidelines that protect the rights of indigenous peoples and local communities, incorporating environmental and social safeguards to maximize positive impacts and prevent harm.</w:t>
      </w:r>
    </w:p>
    <w:p w14:paraId="6C9855E1" w14:textId="2654C917" w:rsidR="0089437C" w:rsidRPr="004D2934" w:rsidRDefault="0089437C" w:rsidP="00477B55">
      <w:pPr>
        <w:pStyle w:val="Prrafodelista"/>
        <w:numPr>
          <w:ilvl w:val="0"/>
          <w:numId w:val="12"/>
        </w:numPr>
        <w:jc w:val="both"/>
        <w:rPr>
          <w:rFonts w:ascii="Corbel" w:hAnsi="Corbel"/>
          <w:color w:val="0A2F41" w:themeColor="accent1" w:themeShade="80"/>
          <w:lang w:val="en-US"/>
        </w:rPr>
      </w:pPr>
      <w:r w:rsidRPr="004D2934">
        <w:rPr>
          <w:rFonts w:ascii="Corbel" w:hAnsi="Corbel"/>
          <w:color w:val="0A2F41" w:themeColor="accent1" w:themeShade="80"/>
          <w:lang w:val="en-US"/>
        </w:rPr>
        <w:t>Institutional and policy synergy: Decision 16/22 explicitly calls on the UNFCCC to align plans and methodologies with CBD guidelines, fostering coherence and effectiveness in international climate action and avoiding duplication or counterproductive efforts.</w:t>
      </w:r>
    </w:p>
    <w:p w14:paraId="032C3093" w14:textId="5488AFEC" w:rsidR="002C3931" w:rsidRPr="004D2934" w:rsidRDefault="002C3931" w:rsidP="00DE6774">
      <w:pPr>
        <w:jc w:val="both"/>
        <w:rPr>
          <w:rFonts w:ascii="Corbel" w:hAnsi="Corbel"/>
          <w:i/>
          <w:iCs/>
          <w:color w:val="0A2F41" w:themeColor="accent1" w:themeShade="80"/>
          <w:lang w:val="en-US"/>
        </w:rPr>
      </w:pPr>
      <w:r w:rsidRPr="004D2934">
        <w:rPr>
          <w:rFonts w:ascii="Corbel" w:hAnsi="Corbel"/>
          <w:i/>
          <w:iCs/>
          <w:color w:val="0A2F41" w:themeColor="accent1" w:themeShade="80"/>
          <w:lang w:val="en-US"/>
        </w:rPr>
        <w:t>Therefore,</w:t>
      </w:r>
    </w:p>
    <w:p w14:paraId="4A0F7277" w14:textId="7DE641BB" w:rsidR="004348FD" w:rsidRPr="004D2934" w:rsidRDefault="004348FD" w:rsidP="00A26110">
      <w:pPr>
        <w:pStyle w:val="Prrafodelista"/>
        <w:numPr>
          <w:ilvl w:val="0"/>
          <w:numId w:val="6"/>
        </w:numPr>
        <w:jc w:val="both"/>
        <w:rPr>
          <w:rFonts w:ascii="Corbel" w:hAnsi="Corbel"/>
          <w:color w:val="0A2F41" w:themeColor="accent1" w:themeShade="80"/>
          <w:lang w:val="en-US"/>
        </w:rPr>
      </w:pPr>
      <w:bookmarkStart w:id="2" w:name="_Hlk190071108"/>
      <w:r w:rsidRPr="004D2934">
        <w:rPr>
          <w:rFonts w:ascii="Corbel" w:hAnsi="Corbel"/>
          <w:color w:val="0A2F41" w:themeColor="accent1" w:themeShade="80"/>
          <w:lang w:val="en-US"/>
        </w:rPr>
        <w:t xml:space="preserve">AILAC believes that The Mitigation Work Programme should encompass not </w:t>
      </w:r>
      <w:r w:rsidR="00EF2FDD" w:rsidRPr="004D2934">
        <w:rPr>
          <w:rFonts w:ascii="Corbel" w:hAnsi="Corbel"/>
          <w:color w:val="0A2F41" w:themeColor="accent1" w:themeShade="80"/>
          <w:lang w:val="en-US"/>
        </w:rPr>
        <w:t>only</w:t>
      </w:r>
      <w:r w:rsidRPr="004D2934">
        <w:rPr>
          <w:rFonts w:ascii="Corbel" w:hAnsi="Corbel"/>
          <w:color w:val="0A2F41" w:themeColor="accent1" w:themeShade="80"/>
          <w:lang w:val="en-US"/>
        </w:rPr>
        <w:t xml:space="preserve"> emissions </w:t>
      </w:r>
      <w:r w:rsidR="00C36975" w:rsidRPr="004D2934">
        <w:rPr>
          <w:rFonts w:ascii="Corbel" w:hAnsi="Corbel"/>
          <w:color w:val="0A2F41" w:themeColor="accent1" w:themeShade="80"/>
          <w:lang w:val="en-US"/>
        </w:rPr>
        <w:t xml:space="preserve">of greenhouse gases; </w:t>
      </w:r>
      <w:r w:rsidRPr="004D2934">
        <w:rPr>
          <w:rFonts w:ascii="Corbel" w:hAnsi="Corbel"/>
          <w:color w:val="0A2F41" w:themeColor="accent1" w:themeShade="80"/>
          <w:lang w:val="en-US"/>
        </w:rPr>
        <w:t xml:space="preserve">but also sinks of greenhouse gases, a strategy that is </w:t>
      </w:r>
      <w:r w:rsidR="00086880" w:rsidRPr="004D2934">
        <w:rPr>
          <w:rFonts w:ascii="Corbel" w:hAnsi="Corbel"/>
          <w:color w:val="0A2F41" w:themeColor="accent1" w:themeShade="80"/>
          <w:lang w:val="en-US"/>
        </w:rPr>
        <w:t>reinforced</w:t>
      </w:r>
      <w:r w:rsidRPr="004D2934">
        <w:rPr>
          <w:rFonts w:ascii="Corbel" w:hAnsi="Corbel"/>
          <w:color w:val="0A2F41" w:themeColor="accent1" w:themeShade="80"/>
          <w:lang w:val="en-US"/>
        </w:rPr>
        <w:t xml:space="preserve"> by a comprehensive understanding of the Earth</w:t>
      </w:r>
      <w:r w:rsidR="007F13D7" w:rsidRPr="004D2934">
        <w:rPr>
          <w:rFonts w:ascii="Corbel" w:hAnsi="Corbel"/>
          <w:color w:val="0A2F41" w:themeColor="accent1" w:themeShade="80"/>
          <w:lang w:val="en-US"/>
        </w:rPr>
        <w:t>’</w:t>
      </w:r>
      <w:r w:rsidRPr="004D2934">
        <w:rPr>
          <w:rFonts w:ascii="Corbel" w:hAnsi="Corbel"/>
          <w:color w:val="0A2F41" w:themeColor="accent1" w:themeShade="80"/>
          <w:lang w:val="en-US"/>
        </w:rPr>
        <w:t>s carbon cycle and the critical role of natural sinks in stabilizing the climate</w:t>
      </w:r>
      <w:r w:rsidR="00581D6E" w:rsidRPr="004D2934">
        <w:rPr>
          <w:rFonts w:ascii="Corbel" w:hAnsi="Corbel"/>
          <w:color w:val="0A2F41" w:themeColor="accent1" w:themeShade="80"/>
          <w:lang w:val="en-US"/>
        </w:rPr>
        <w:t>,</w:t>
      </w:r>
      <w:r w:rsidRPr="004D2934">
        <w:rPr>
          <w:rFonts w:ascii="Corbel" w:hAnsi="Corbel"/>
          <w:color w:val="0A2F41" w:themeColor="accent1" w:themeShade="80"/>
          <w:lang w:val="en-US"/>
        </w:rPr>
        <w:t xml:space="preserve"> </w:t>
      </w:r>
      <w:r w:rsidR="00581D6E" w:rsidRPr="004D2934">
        <w:rPr>
          <w:rFonts w:ascii="Corbel" w:hAnsi="Corbel"/>
          <w:color w:val="0A2F41" w:themeColor="accent1" w:themeShade="80"/>
          <w:lang w:val="en-US"/>
        </w:rPr>
        <w:t xml:space="preserve">in line with </w:t>
      </w:r>
      <w:r w:rsidRPr="004D2934">
        <w:rPr>
          <w:rFonts w:ascii="Corbel" w:hAnsi="Corbel"/>
          <w:color w:val="0A2F41" w:themeColor="accent1" w:themeShade="80"/>
          <w:lang w:val="en-US"/>
        </w:rPr>
        <w:t>the scientific insights provided by the IPCC</w:t>
      </w:r>
      <w:r w:rsidR="007F13D7" w:rsidRPr="004D2934">
        <w:rPr>
          <w:rFonts w:ascii="Corbel" w:hAnsi="Corbel"/>
          <w:color w:val="0A2F41" w:themeColor="accent1" w:themeShade="80"/>
          <w:lang w:val="en-US"/>
        </w:rPr>
        <w:t>’</w:t>
      </w:r>
      <w:r w:rsidRPr="004D2934">
        <w:rPr>
          <w:rFonts w:ascii="Corbel" w:hAnsi="Corbel"/>
          <w:color w:val="0A2F41" w:themeColor="accent1" w:themeShade="80"/>
          <w:lang w:val="en-US"/>
        </w:rPr>
        <w:t>s Sixth Assessment Report (AR6).</w:t>
      </w:r>
    </w:p>
    <w:p w14:paraId="3B1E0487" w14:textId="2D1FD8A6" w:rsidR="00010027" w:rsidRPr="004D2934" w:rsidRDefault="00D92035" w:rsidP="003E2902">
      <w:pPr>
        <w:pStyle w:val="Prrafodelista"/>
        <w:numPr>
          <w:ilvl w:val="0"/>
          <w:numId w:val="6"/>
        </w:numPr>
        <w:ind w:left="1068"/>
        <w:jc w:val="both"/>
        <w:rPr>
          <w:rFonts w:ascii="Corbel" w:hAnsi="Corbel"/>
          <w:color w:val="0A2F41" w:themeColor="accent1" w:themeShade="80"/>
          <w:lang w:val="en-US"/>
        </w:rPr>
      </w:pPr>
      <w:r w:rsidRPr="004D2934">
        <w:rPr>
          <w:rFonts w:ascii="Corbel" w:hAnsi="Corbel"/>
          <w:color w:val="0A2F41" w:themeColor="accent1" w:themeShade="80"/>
          <w:lang w:val="en-US"/>
        </w:rPr>
        <w:t xml:space="preserve">The urgent prioritization of </w:t>
      </w:r>
      <w:r w:rsidRPr="004D2934">
        <w:rPr>
          <w:rFonts w:ascii="Corbel" w:hAnsi="Corbel"/>
          <w:color w:val="0A2F41" w:themeColor="accent1" w:themeShade="80"/>
          <w:u w:val="single"/>
          <w:lang w:val="en-US"/>
        </w:rPr>
        <w:t>ecosystem protection</w:t>
      </w:r>
      <w:r w:rsidR="000E5DDF" w:rsidRPr="004D2934">
        <w:rPr>
          <w:rFonts w:ascii="Corbel" w:hAnsi="Corbel"/>
          <w:color w:val="0A2F41" w:themeColor="accent1" w:themeShade="80"/>
          <w:u w:val="single"/>
          <w:lang w:val="en-US"/>
        </w:rPr>
        <w:t>, restoration</w:t>
      </w:r>
      <w:r w:rsidRPr="004D2934">
        <w:rPr>
          <w:rFonts w:ascii="Corbel" w:hAnsi="Corbel"/>
          <w:color w:val="0A2F41" w:themeColor="accent1" w:themeShade="80"/>
          <w:u w:val="single"/>
          <w:lang w:val="en-US"/>
        </w:rPr>
        <w:t xml:space="preserve"> and conservation</w:t>
      </w:r>
      <w:r w:rsidRPr="004D2934">
        <w:rPr>
          <w:rFonts w:ascii="Corbel" w:hAnsi="Corbel"/>
          <w:color w:val="0A2F41" w:themeColor="accent1" w:themeShade="80"/>
          <w:lang w:val="en-US"/>
        </w:rPr>
        <w:t xml:space="preserve"> is fundamentally justified by the intertwined crises of climate change and biodiversity loss, as underscored by the IPCC</w:t>
      </w:r>
      <w:r w:rsidR="007F13D7" w:rsidRPr="004D2934">
        <w:rPr>
          <w:rFonts w:ascii="Corbel" w:hAnsi="Corbel"/>
          <w:color w:val="0A2F41" w:themeColor="accent1" w:themeShade="80"/>
          <w:lang w:val="en-US"/>
        </w:rPr>
        <w:t>’</w:t>
      </w:r>
      <w:r w:rsidRPr="004D2934">
        <w:rPr>
          <w:rFonts w:ascii="Corbel" w:hAnsi="Corbel"/>
          <w:color w:val="0A2F41" w:themeColor="accent1" w:themeShade="80"/>
          <w:lang w:val="en-US"/>
        </w:rPr>
        <w:t>s Sixth Assessment Report (AR6) and various international agreements, including the Paris Agreement and the Kunming-Montreal Global Biodiversity Framework</w:t>
      </w:r>
      <w:r w:rsidR="004578BC" w:rsidRPr="004D2934">
        <w:rPr>
          <w:rFonts w:ascii="Corbel" w:hAnsi="Corbel"/>
          <w:color w:val="0A2F41" w:themeColor="accent1" w:themeShade="80"/>
          <w:lang w:val="en-US"/>
        </w:rPr>
        <w:t>, including Decision 16/22 under the Convention of Biological Diversity</w:t>
      </w:r>
      <w:r w:rsidRPr="004D2934">
        <w:rPr>
          <w:rFonts w:ascii="Corbel" w:hAnsi="Corbel"/>
          <w:color w:val="0A2F41" w:themeColor="accent1" w:themeShade="80"/>
          <w:lang w:val="en-US"/>
        </w:rPr>
        <w:t>.</w:t>
      </w:r>
    </w:p>
    <w:p w14:paraId="7C21A8E9" w14:textId="0CAAB7FA" w:rsidR="002C3931" w:rsidRPr="004D2934" w:rsidRDefault="008035B3" w:rsidP="00DE6774">
      <w:p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AILAC considers that the </w:t>
      </w:r>
      <w:proofErr w:type="gramStart"/>
      <w:r w:rsidRPr="004D2934">
        <w:rPr>
          <w:rFonts w:ascii="Corbel" w:hAnsi="Corbel"/>
          <w:color w:val="0A2F41" w:themeColor="accent1" w:themeShade="80"/>
          <w:lang w:val="en-US"/>
        </w:rPr>
        <w:t>dialogues</w:t>
      </w:r>
      <w:proofErr w:type="gramEnd"/>
      <w:r w:rsidRPr="004D2934">
        <w:rPr>
          <w:rFonts w:ascii="Corbel" w:hAnsi="Corbel"/>
          <w:color w:val="0A2F41" w:themeColor="accent1" w:themeShade="80"/>
          <w:lang w:val="en-US"/>
        </w:rPr>
        <w:t xml:space="preserve"> </w:t>
      </w:r>
      <w:r w:rsidR="00101E55" w:rsidRPr="004D2934">
        <w:rPr>
          <w:rFonts w:ascii="Corbel" w:hAnsi="Corbel"/>
          <w:color w:val="0A2F41" w:themeColor="accent1" w:themeShade="80"/>
          <w:lang w:val="en-US"/>
        </w:rPr>
        <w:t xml:space="preserve">could </w:t>
      </w:r>
      <w:r w:rsidR="00970C95" w:rsidRPr="004D2934">
        <w:rPr>
          <w:rFonts w:ascii="Corbel" w:hAnsi="Corbel"/>
          <w:color w:val="0A2F41" w:themeColor="accent1" w:themeShade="80"/>
          <w:lang w:val="en-US"/>
        </w:rPr>
        <w:t>include</w:t>
      </w:r>
      <w:r w:rsidR="00101E55" w:rsidRPr="004D2934">
        <w:rPr>
          <w:rFonts w:ascii="Corbel" w:hAnsi="Corbel"/>
          <w:color w:val="0A2F41" w:themeColor="accent1" w:themeShade="80"/>
          <w:lang w:val="en-US"/>
        </w:rPr>
        <w:t>, among others:</w:t>
      </w:r>
    </w:p>
    <w:p w14:paraId="744D7C5A" w14:textId="12F457A5" w:rsidR="00101E55" w:rsidRPr="004D2934" w:rsidRDefault="00101E55" w:rsidP="00A26110">
      <w:pPr>
        <w:pStyle w:val="Prrafodelista"/>
        <w:numPr>
          <w:ilvl w:val="0"/>
          <w:numId w:val="6"/>
        </w:numPr>
        <w:jc w:val="both"/>
        <w:rPr>
          <w:rFonts w:ascii="Corbel" w:hAnsi="Corbel"/>
          <w:i/>
          <w:iCs/>
          <w:color w:val="0A2F41" w:themeColor="accent1" w:themeShade="80"/>
          <w:lang w:val="en-US"/>
        </w:rPr>
      </w:pPr>
      <w:r w:rsidRPr="004D2934">
        <w:rPr>
          <w:rFonts w:ascii="Corbel" w:hAnsi="Corbel"/>
          <w:i/>
          <w:iCs/>
          <w:color w:val="0A2F41" w:themeColor="accent1" w:themeShade="80"/>
          <w:lang w:val="en-US"/>
        </w:rPr>
        <w:t xml:space="preserve">Ecosystem-Based Approaches to Climate Change Mitigation: </w:t>
      </w:r>
      <w:r w:rsidR="0098327A" w:rsidRPr="004D2934">
        <w:rPr>
          <w:rFonts w:ascii="Corbel" w:hAnsi="Corbel"/>
          <w:color w:val="0A2F41" w:themeColor="accent1" w:themeShade="80"/>
          <w:lang w:val="en-US"/>
        </w:rPr>
        <w:t>Protecting and restoring key ecosystems such as</w:t>
      </w:r>
      <w:r w:rsidRPr="004D2934">
        <w:rPr>
          <w:rFonts w:ascii="Corbel" w:hAnsi="Corbel"/>
          <w:color w:val="0A2F41" w:themeColor="accent1" w:themeShade="80"/>
          <w:lang w:val="en-US"/>
        </w:rPr>
        <w:t xml:space="preserve"> forests, </w:t>
      </w:r>
      <w:r w:rsidR="003B3E1B" w:rsidRPr="004D2934">
        <w:rPr>
          <w:rFonts w:ascii="Corbel" w:hAnsi="Corbel"/>
          <w:color w:val="0A2F41" w:themeColor="accent1" w:themeShade="80"/>
          <w:lang w:val="en-US"/>
        </w:rPr>
        <w:t xml:space="preserve">peatlands, </w:t>
      </w:r>
      <w:r w:rsidRPr="004D2934">
        <w:rPr>
          <w:rFonts w:ascii="Corbel" w:hAnsi="Corbel"/>
          <w:color w:val="0A2F41" w:themeColor="accent1" w:themeShade="80"/>
          <w:lang w:val="en-US"/>
        </w:rPr>
        <w:t xml:space="preserve">wetlands, grasslands, and </w:t>
      </w:r>
      <w:r w:rsidR="003B3E1B" w:rsidRPr="004D2934">
        <w:rPr>
          <w:rFonts w:ascii="Corbel" w:hAnsi="Corbel"/>
          <w:color w:val="0A2F41" w:themeColor="accent1" w:themeShade="80"/>
          <w:lang w:val="en-US"/>
        </w:rPr>
        <w:t xml:space="preserve">coastal and </w:t>
      </w:r>
      <w:r w:rsidRPr="004D2934">
        <w:rPr>
          <w:rFonts w:ascii="Corbel" w:hAnsi="Corbel"/>
          <w:color w:val="0A2F41" w:themeColor="accent1" w:themeShade="80"/>
          <w:lang w:val="en-US"/>
        </w:rPr>
        <w:t>marine ecosystems in sequestering carbon, enhancing resilience to climate impacts, and supporting biodiversity.</w:t>
      </w:r>
    </w:p>
    <w:p w14:paraId="7B830057" w14:textId="36F587DB" w:rsidR="000025B7" w:rsidRPr="004D2934" w:rsidRDefault="00970C95" w:rsidP="00A26110">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I</w:t>
      </w:r>
      <w:r w:rsidR="000025B7" w:rsidRPr="004D2934">
        <w:rPr>
          <w:rFonts w:ascii="Corbel" w:hAnsi="Corbel"/>
          <w:i/>
          <w:iCs/>
          <w:color w:val="0A2F41" w:themeColor="accent1" w:themeShade="80"/>
          <w:lang w:val="en-US"/>
        </w:rPr>
        <w:t>nterlinkages between Biodiversity and Climate Change:</w:t>
      </w:r>
      <w:r w:rsidR="008035B3" w:rsidRPr="004D2934">
        <w:rPr>
          <w:rFonts w:ascii="Corbel" w:hAnsi="Corbel"/>
          <w:color w:val="0A2F41" w:themeColor="accent1" w:themeShade="80"/>
          <w:lang w:val="en-US"/>
        </w:rPr>
        <w:t xml:space="preserve"> </w:t>
      </w:r>
      <w:r w:rsidR="00310859" w:rsidRPr="004D2934">
        <w:rPr>
          <w:rFonts w:ascii="Corbel" w:hAnsi="Corbel"/>
          <w:color w:val="0A2F41" w:themeColor="accent1" w:themeShade="80"/>
          <w:lang w:val="en-US"/>
        </w:rPr>
        <w:t>Including an o</w:t>
      </w:r>
      <w:r w:rsidR="000025B7" w:rsidRPr="004D2934">
        <w:rPr>
          <w:rFonts w:ascii="Corbel" w:hAnsi="Corbel"/>
          <w:color w:val="0A2F41" w:themeColor="accent1" w:themeShade="80"/>
          <w:lang w:val="en-US"/>
        </w:rPr>
        <w:t>verview of the symbiotic relationship between biodiversity conservation and climate change mitigation</w:t>
      </w:r>
      <w:r w:rsidR="00310859" w:rsidRPr="004D2934">
        <w:rPr>
          <w:rFonts w:ascii="Corbel" w:hAnsi="Corbel"/>
          <w:color w:val="0A2F41" w:themeColor="accent1" w:themeShade="80"/>
          <w:lang w:val="en-US"/>
        </w:rPr>
        <w:t xml:space="preserve"> as well as</w:t>
      </w:r>
      <w:r w:rsidR="008035B3" w:rsidRPr="004D2934">
        <w:rPr>
          <w:rFonts w:ascii="Corbel" w:hAnsi="Corbel"/>
          <w:color w:val="0A2F41" w:themeColor="accent1" w:themeShade="80"/>
          <w:lang w:val="en-US"/>
        </w:rPr>
        <w:t xml:space="preserve"> </w:t>
      </w:r>
      <w:r w:rsidR="00310859" w:rsidRPr="004D2934">
        <w:rPr>
          <w:rFonts w:ascii="Corbel" w:hAnsi="Corbel"/>
          <w:color w:val="0A2F41" w:themeColor="accent1" w:themeShade="80"/>
          <w:lang w:val="en-US"/>
        </w:rPr>
        <w:t>c</w:t>
      </w:r>
      <w:r w:rsidR="000025B7" w:rsidRPr="004D2934">
        <w:rPr>
          <w:rFonts w:ascii="Corbel" w:hAnsi="Corbel"/>
          <w:color w:val="0A2F41" w:themeColor="accent1" w:themeShade="80"/>
          <w:lang w:val="en-US"/>
        </w:rPr>
        <w:t xml:space="preserve">ase studies demonstrating the impact of </w:t>
      </w:r>
      <w:r w:rsidR="00CF7B38" w:rsidRPr="004D2934">
        <w:rPr>
          <w:rFonts w:ascii="Corbel" w:hAnsi="Corbel"/>
          <w:color w:val="0A2F41" w:themeColor="accent1" w:themeShade="80"/>
          <w:lang w:val="en-US"/>
        </w:rPr>
        <w:t xml:space="preserve">high integrity and </w:t>
      </w:r>
      <w:r w:rsidR="000025B7" w:rsidRPr="004D2934">
        <w:rPr>
          <w:rFonts w:ascii="Corbel" w:hAnsi="Corbel"/>
          <w:color w:val="0A2F41" w:themeColor="accent1" w:themeShade="80"/>
          <w:lang w:val="en-US"/>
        </w:rPr>
        <w:t>healthy ecosystems on carbon sequestration and resilience to climate impacts</w:t>
      </w:r>
      <w:r w:rsidR="00A31D0B" w:rsidRPr="004D2934">
        <w:rPr>
          <w:lang w:val="en-US"/>
        </w:rPr>
        <w:t xml:space="preserve"> </w:t>
      </w:r>
      <w:r w:rsidR="00A31D0B" w:rsidRPr="004D2934">
        <w:rPr>
          <w:rFonts w:ascii="Corbel" w:hAnsi="Corbel"/>
          <w:color w:val="0A2F41" w:themeColor="accent1" w:themeShade="80"/>
          <w:lang w:val="en-US"/>
        </w:rPr>
        <w:t>and fully operationalizing Article 5 of the Paris Agreement</w:t>
      </w:r>
      <w:r w:rsidR="000025B7" w:rsidRPr="004D2934">
        <w:rPr>
          <w:rFonts w:ascii="Corbel" w:hAnsi="Corbel"/>
          <w:color w:val="0A2F41" w:themeColor="accent1" w:themeShade="80"/>
          <w:lang w:val="en-US"/>
        </w:rPr>
        <w:t>.</w:t>
      </w:r>
    </w:p>
    <w:p w14:paraId="5CC2CB19" w14:textId="5CD7DE4A" w:rsidR="000025B7" w:rsidRPr="004D2934" w:rsidRDefault="000025B7" w:rsidP="00A26110">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lastRenderedPageBreak/>
        <w:t xml:space="preserve">Synergies between the UNFCCC Mitigation Work Programme and the Kunming-Montreal </w:t>
      </w:r>
      <w:r w:rsidR="00933B79" w:rsidRPr="004D2934">
        <w:rPr>
          <w:rFonts w:ascii="Corbel" w:hAnsi="Corbel"/>
          <w:i/>
          <w:iCs/>
          <w:color w:val="0A2F41" w:themeColor="accent1" w:themeShade="80"/>
          <w:lang w:val="en-US"/>
        </w:rPr>
        <w:t xml:space="preserve">Global Biodiversity </w:t>
      </w:r>
      <w:r w:rsidRPr="004D2934">
        <w:rPr>
          <w:rFonts w:ascii="Corbel" w:hAnsi="Corbel"/>
          <w:i/>
          <w:iCs/>
          <w:color w:val="0A2F41" w:themeColor="accent1" w:themeShade="80"/>
          <w:lang w:val="en-US"/>
        </w:rPr>
        <w:t>Framework:</w:t>
      </w:r>
      <w:r w:rsidR="00111D96" w:rsidRPr="004D2934">
        <w:rPr>
          <w:rFonts w:ascii="Corbel" w:hAnsi="Corbel"/>
          <w:color w:val="0A2F41" w:themeColor="accent1" w:themeShade="80"/>
          <w:lang w:val="en-US"/>
        </w:rPr>
        <w:t xml:space="preserve"> </w:t>
      </w:r>
      <w:r w:rsidR="000758D8" w:rsidRPr="004D2934">
        <w:rPr>
          <w:rFonts w:ascii="Corbel" w:hAnsi="Corbel"/>
          <w:color w:val="0A2F41" w:themeColor="accent1" w:themeShade="80"/>
          <w:lang w:val="en-US"/>
        </w:rPr>
        <w:t xml:space="preserve">Pursuant to Decision 1/CMA5 para 33, </w:t>
      </w:r>
      <w:r w:rsidR="00FC0EC9" w:rsidRPr="004D2934">
        <w:rPr>
          <w:rFonts w:ascii="Corbel" w:hAnsi="Corbel"/>
          <w:color w:val="0A2F41" w:themeColor="accent1" w:themeShade="80"/>
          <w:lang w:val="en-US"/>
        </w:rPr>
        <w:t xml:space="preserve">identifying </w:t>
      </w:r>
      <w:r w:rsidRPr="004D2934">
        <w:rPr>
          <w:rFonts w:ascii="Corbel" w:hAnsi="Corbel"/>
          <w:color w:val="0A2F41" w:themeColor="accent1" w:themeShade="80"/>
          <w:lang w:val="en-US"/>
        </w:rPr>
        <w:t>and leveraging overlaps in objectives and actions</w:t>
      </w:r>
      <w:r w:rsidR="00FC0EC9" w:rsidRPr="004D2934">
        <w:rPr>
          <w:rFonts w:ascii="Corbel" w:hAnsi="Corbel"/>
          <w:color w:val="0A2F41" w:themeColor="accent1" w:themeShade="80"/>
          <w:lang w:val="en-US"/>
        </w:rPr>
        <w:t xml:space="preserve">; as well as strategies </w:t>
      </w:r>
      <w:r w:rsidRPr="004D2934">
        <w:rPr>
          <w:rFonts w:ascii="Corbel" w:hAnsi="Corbel"/>
          <w:color w:val="0A2F41" w:themeColor="accent1" w:themeShade="80"/>
          <w:lang w:val="en-US"/>
        </w:rPr>
        <w:t xml:space="preserve">for </w:t>
      </w:r>
      <w:proofErr w:type="gramStart"/>
      <w:r w:rsidRPr="004D2934">
        <w:rPr>
          <w:rFonts w:ascii="Corbel" w:hAnsi="Corbel"/>
          <w:color w:val="0A2F41" w:themeColor="accent1" w:themeShade="80"/>
          <w:lang w:val="en-US"/>
        </w:rPr>
        <w:t>integrated</w:t>
      </w:r>
      <w:proofErr w:type="gramEnd"/>
      <w:r w:rsidRPr="004D2934">
        <w:rPr>
          <w:rFonts w:ascii="Corbel" w:hAnsi="Corbel"/>
          <w:color w:val="0A2F41" w:themeColor="accent1" w:themeShade="80"/>
          <w:lang w:val="en-US"/>
        </w:rPr>
        <w:t xml:space="preserve"> national planning and reporting to both frameworks</w:t>
      </w:r>
      <w:r w:rsidR="0066427C" w:rsidRPr="004D2934">
        <w:rPr>
          <w:rFonts w:ascii="Corbel" w:hAnsi="Corbel"/>
          <w:color w:val="0A2F41" w:themeColor="accent1" w:themeShade="80"/>
          <w:lang w:val="en-US"/>
        </w:rPr>
        <w:t xml:space="preserve"> as well as tools and methodologies for quantifying the climate and biodiversity benefits of conservation projects</w:t>
      </w:r>
      <w:r w:rsidR="00FC0EC9" w:rsidRPr="004D2934">
        <w:rPr>
          <w:rFonts w:ascii="Corbel" w:hAnsi="Corbel"/>
          <w:color w:val="0A2F41" w:themeColor="accent1" w:themeShade="80"/>
          <w:lang w:val="en-US"/>
        </w:rPr>
        <w:t xml:space="preserve">. This is </w:t>
      </w:r>
      <w:r w:rsidR="00ED4049" w:rsidRPr="004D2934">
        <w:rPr>
          <w:rFonts w:ascii="Corbel" w:hAnsi="Corbel"/>
          <w:color w:val="0A2F41" w:themeColor="accent1" w:themeShade="80"/>
          <w:lang w:val="en-US"/>
        </w:rPr>
        <w:t>p</w:t>
      </w:r>
      <w:r w:rsidR="006774C1" w:rsidRPr="004D2934">
        <w:rPr>
          <w:rFonts w:ascii="Corbel" w:hAnsi="Corbel"/>
          <w:color w:val="0A2F41" w:themeColor="accent1" w:themeShade="80"/>
          <w:lang w:val="en-US"/>
        </w:rPr>
        <w:t>articularly</w:t>
      </w:r>
      <w:r w:rsidR="00575BD9" w:rsidRPr="004D2934">
        <w:rPr>
          <w:rFonts w:ascii="Corbel" w:hAnsi="Corbel"/>
          <w:color w:val="0A2F41" w:themeColor="accent1" w:themeShade="80"/>
          <w:lang w:val="en-US"/>
        </w:rPr>
        <w:t xml:space="preserve"> </w:t>
      </w:r>
      <w:r w:rsidR="00FC0EC9" w:rsidRPr="004D2934">
        <w:rPr>
          <w:rFonts w:ascii="Corbel" w:hAnsi="Corbel"/>
          <w:color w:val="0A2F41" w:themeColor="accent1" w:themeShade="80"/>
          <w:lang w:val="en-US"/>
        </w:rPr>
        <w:t xml:space="preserve">aligned </w:t>
      </w:r>
      <w:r w:rsidR="00191CEC" w:rsidRPr="004D2934">
        <w:rPr>
          <w:rFonts w:ascii="Corbel" w:hAnsi="Corbel"/>
          <w:color w:val="0A2F41" w:themeColor="accent1" w:themeShade="80"/>
          <w:lang w:val="en-US"/>
        </w:rPr>
        <w:t>with target 8 of the Kunming-Montreal Global Biodiversity Framework</w:t>
      </w:r>
      <w:r w:rsidR="006774C1" w:rsidRPr="004D2934">
        <w:rPr>
          <w:rFonts w:ascii="Corbel" w:hAnsi="Corbel"/>
          <w:color w:val="0A2F41" w:themeColor="accent1" w:themeShade="80"/>
          <w:lang w:val="en-US"/>
        </w:rPr>
        <w:t xml:space="preserve">, which highlights the </w:t>
      </w:r>
      <w:r w:rsidR="00EF7A59" w:rsidRPr="004D2934">
        <w:rPr>
          <w:rFonts w:ascii="Corbel" w:hAnsi="Corbel"/>
          <w:color w:val="0A2F41" w:themeColor="accent1" w:themeShade="80"/>
          <w:lang w:val="en-US"/>
        </w:rPr>
        <w:t xml:space="preserve">relation between </w:t>
      </w:r>
      <w:r w:rsidR="006774C1" w:rsidRPr="004D2934">
        <w:rPr>
          <w:rFonts w:ascii="Corbel" w:hAnsi="Corbel"/>
          <w:color w:val="0A2F41" w:themeColor="accent1" w:themeShade="80"/>
          <w:lang w:val="en-US"/>
        </w:rPr>
        <w:t xml:space="preserve">climate change mitigation and </w:t>
      </w:r>
      <w:r w:rsidR="00231F31" w:rsidRPr="004D2934">
        <w:rPr>
          <w:rFonts w:ascii="Corbel" w:hAnsi="Corbel"/>
          <w:color w:val="0A2F41" w:themeColor="accent1" w:themeShade="80"/>
          <w:lang w:val="en-US"/>
        </w:rPr>
        <w:t>minimizing negative and fostering positive impacts of climate action on biodiversity.</w:t>
      </w:r>
    </w:p>
    <w:p w14:paraId="08D4BCBD" w14:textId="24F7398F" w:rsidR="000025B7" w:rsidRPr="004D2934" w:rsidRDefault="000025B7" w:rsidP="00A26110">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Community-based Conservation and Indigenous Peoples’ Knowledge:</w:t>
      </w:r>
      <w:r w:rsidR="00E86928" w:rsidRPr="004D2934">
        <w:rPr>
          <w:rFonts w:ascii="Corbel" w:hAnsi="Corbel"/>
          <w:color w:val="0A2F41" w:themeColor="accent1" w:themeShade="80"/>
          <w:lang w:val="en-US"/>
        </w:rPr>
        <w:t xml:space="preserve"> </w:t>
      </w:r>
      <w:r w:rsidRPr="004D2934">
        <w:rPr>
          <w:rFonts w:ascii="Corbel" w:hAnsi="Corbel"/>
          <w:color w:val="0A2F41" w:themeColor="accent1" w:themeShade="80"/>
          <w:lang w:val="en-US"/>
        </w:rPr>
        <w:t xml:space="preserve">The role of </w:t>
      </w:r>
      <w:r w:rsidR="003A27DA" w:rsidRPr="004D2934">
        <w:rPr>
          <w:rFonts w:ascii="Corbel" w:hAnsi="Corbel"/>
          <w:color w:val="0A2F41" w:themeColor="accent1" w:themeShade="80"/>
          <w:lang w:val="en-US"/>
        </w:rPr>
        <w:t>Indigenous</w:t>
      </w:r>
      <w:r w:rsidRPr="004D2934">
        <w:rPr>
          <w:rFonts w:ascii="Corbel" w:hAnsi="Corbel"/>
          <w:color w:val="0A2F41" w:themeColor="accent1" w:themeShade="80"/>
          <w:lang w:val="en-US"/>
        </w:rPr>
        <w:t xml:space="preserve"> peoples and local communities in ecosystem conservation and climate mitigation.</w:t>
      </w:r>
      <w:r w:rsidR="00E86928" w:rsidRPr="004D2934">
        <w:rPr>
          <w:rFonts w:ascii="Corbel" w:hAnsi="Corbel"/>
          <w:color w:val="0A2F41" w:themeColor="accent1" w:themeShade="80"/>
          <w:lang w:val="en-US"/>
        </w:rPr>
        <w:t xml:space="preserve"> </w:t>
      </w:r>
      <w:r w:rsidRPr="004D2934">
        <w:rPr>
          <w:rFonts w:ascii="Corbel" w:hAnsi="Corbel"/>
          <w:color w:val="0A2F41" w:themeColor="accent1" w:themeShade="80"/>
          <w:lang w:val="en-US"/>
        </w:rPr>
        <w:t>Integrating traditional knowledge with scientific approaches for effective conservation strategies.</w:t>
      </w:r>
    </w:p>
    <w:p w14:paraId="5DBEED79" w14:textId="2A626A1D" w:rsidR="000025B7" w:rsidRPr="004D2934" w:rsidRDefault="000025B7" w:rsidP="00A26110">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Financing for Ecosystem Protection and Restoration:</w:t>
      </w:r>
      <w:r w:rsidR="00E86928" w:rsidRPr="004D2934">
        <w:rPr>
          <w:rFonts w:ascii="Corbel" w:hAnsi="Corbel"/>
          <w:color w:val="0A2F41" w:themeColor="accent1" w:themeShade="80"/>
          <w:lang w:val="en-US"/>
        </w:rPr>
        <w:t xml:space="preserve"> </w:t>
      </w:r>
      <w:r w:rsidRPr="004D2934">
        <w:rPr>
          <w:rFonts w:ascii="Corbel" w:hAnsi="Corbel"/>
          <w:color w:val="0A2F41" w:themeColor="accent1" w:themeShade="80"/>
          <w:lang w:val="en-US"/>
        </w:rPr>
        <w:t>Overview of financial mechanisms and incentives for supporting ecosystem-based mitigation actions.</w:t>
      </w:r>
      <w:r w:rsidR="00E86928" w:rsidRPr="004D2934">
        <w:rPr>
          <w:rFonts w:ascii="Corbel" w:hAnsi="Corbel"/>
          <w:color w:val="0A2F41" w:themeColor="accent1" w:themeShade="80"/>
          <w:lang w:val="en-US"/>
        </w:rPr>
        <w:t xml:space="preserve"> </w:t>
      </w:r>
      <w:r w:rsidRPr="004D2934">
        <w:rPr>
          <w:rFonts w:ascii="Corbel" w:hAnsi="Corbel"/>
          <w:color w:val="0A2F41" w:themeColor="accent1" w:themeShade="80"/>
          <w:lang w:val="en-US"/>
        </w:rPr>
        <w:t>Opportunities and challenges in mobilizing resources for biodiversity and climate objectives.</w:t>
      </w:r>
    </w:p>
    <w:p w14:paraId="037D3221" w14:textId="1BC304FE" w:rsidR="003E730C" w:rsidRPr="004D2934" w:rsidRDefault="003E730C" w:rsidP="00A26110">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Cryosphere conservation and climate change mitigation:</w:t>
      </w:r>
      <w:r w:rsidRPr="004D2934">
        <w:rPr>
          <w:rFonts w:ascii="Corbel" w:hAnsi="Corbel"/>
          <w:color w:val="0A2F41" w:themeColor="accent1" w:themeShade="80"/>
          <w:lang w:val="en-US"/>
        </w:rPr>
        <w:t xml:space="preserve"> </w:t>
      </w:r>
      <w:r w:rsidR="00FE4FB1" w:rsidRPr="004D2934">
        <w:rPr>
          <w:rFonts w:ascii="Corbel" w:hAnsi="Corbel"/>
          <w:color w:val="0A2F41" w:themeColor="accent1" w:themeShade="80"/>
          <w:lang w:val="en-US"/>
        </w:rPr>
        <w:t>The significance of cryospheric regions in carbon sequestration and the potential of permafrost as a carbon sink and source</w:t>
      </w:r>
      <w:r w:rsidR="001A6923" w:rsidRPr="004D2934">
        <w:rPr>
          <w:rFonts w:ascii="Corbel" w:hAnsi="Corbel"/>
          <w:color w:val="0A2F41" w:themeColor="accent1" w:themeShade="80"/>
          <w:lang w:val="en-US"/>
        </w:rPr>
        <w:t xml:space="preserve"> and the </w:t>
      </w:r>
      <w:r w:rsidR="00FA088F" w:rsidRPr="004D2934">
        <w:rPr>
          <w:rFonts w:ascii="Corbel" w:hAnsi="Corbel"/>
          <w:color w:val="0A2F41" w:themeColor="accent1" w:themeShade="80"/>
          <w:lang w:val="en-US"/>
        </w:rPr>
        <w:t>role of international cooperation and policy frameworks in protecting cryospheric environments and integrating cryosphere conservation into global climate strategies.</w:t>
      </w:r>
    </w:p>
    <w:p w14:paraId="25DE0F33" w14:textId="4CFEBC8B" w:rsidR="000025B7" w:rsidRPr="004D2934" w:rsidRDefault="000025B7" w:rsidP="00A26110">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Policy Coherence and Multi-level Governance:</w:t>
      </w:r>
      <w:r w:rsidR="00E86928" w:rsidRPr="004D2934">
        <w:rPr>
          <w:rFonts w:ascii="Corbel" w:hAnsi="Corbel"/>
          <w:color w:val="0A2F41" w:themeColor="accent1" w:themeShade="80"/>
          <w:lang w:val="en-US"/>
        </w:rPr>
        <w:t xml:space="preserve"> </w:t>
      </w:r>
      <w:r w:rsidRPr="004D2934">
        <w:rPr>
          <w:rFonts w:ascii="Corbel" w:hAnsi="Corbel"/>
          <w:color w:val="0A2F41" w:themeColor="accent1" w:themeShade="80"/>
          <w:lang w:val="en-US"/>
        </w:rPr>
        <w:t xml:space="preserve">Enhancing alignment between national, regional, and global policies on climate and </w:t>
      </w:r>
      <w:r w:rsidR="00B53BFD" w:rsidRPr="004D2934">
        <w:rPr>
          <w:rFonts w:ascii="Corbel" w:hAnsi="Corbel"/>
          <w:color w:val="0A2F41" w:themeColor="accent1" w:themeShade="80"/>
          <w:lang w:val="en-US"/>
        </w:rPr>
        <w:t>biodiversity,</w:t>
      </w:r>
      <w:r w:rsidR="0066427C" w:rsidRPr="004D2934">
        <w:rPr>
          <w:rFonts w:ascii="Corbel" w:hAnsi="Corbel"/>
          <w:color w:val="0A2F41" w:themeColor="accent1" w:themeShade="80"/>
          <w:lang w:val="en-US"/>
        </w:rPr>
        <w:t xml:space="preserve"> </w:t>
      </w:r>
      <w:r w:rsidR="00FB4436" w:rsidRPr="004D2934">
        <w:rPr>
          <w:rFonts w:ascii="Corbel" w:hAnsi="Corbel"/>
          <w:color w:val="0A2F41" w:themeColor="accent1" w:themeShade="80"/>
          <w:lang w:val="en-US"/>
        </w:rPr>
        <w:t xml:space="preserve">such as </w:t>
      </w:r>
      <w:r w:rsidR="009B7DE2" w:rsidRPr="004D2934">
        <w:rPr>
          <w:rFonts w:ascii="Corbel" w:hAnsi="Corbel"/>
          <w:color w:val="0A2F41" w:themeColor="accent1" w:themeShade="80"/>
          <w:lang w:val="en-US"/>
        </w:rPr>
        <w:t>Nationally Determined Contributions and National Biodiversity Strategies and Action Plans,</w:t>
      </w:r>
      <w:r w:rsidR="00FB4436" w:rsidRPr="004D2934">
        <w:rPr>
          <w:rFonts w:ascii="Corbel" w:hAnsi="Corbel"/>
          <w:color w:val="0A2F41" w:themeColor="accent1" w:themeShade="80"/>
          <w:lang w:val="en-US"/>
        </w:rPr>
        <w:t xml:space="preserve"> </w:t>
      </w:r>
      <w:r w:rsidR="0066427C" w:rsidRPr="004D2934">
        <w:rPr>
          <w:rFonts w:ascii="Corbel" w:hAnsi="Corbel"/>
          <w:color w:val="0A2F41" w:themeColor="accent1" w:themeShade="80"/>
          <w:lang w:val="en-US"/>
        </w:rPr>
        <w:t>including</w:t>
      </w:r>
      <w:r w:rsidR="00E86928" w:rsidRPr="004D2934">
        <w:rPr>
          <w:rFonts w:ascii="Corbel" w:hAnsi="Corbel"/>
          <w:color w:val="0A2F41" w:themeColor="accent1" w:themeShade="80"/>
          <w:lang w:val="en-US"/>
        </w:rPr>
        <w:t xml:space="preserve"> </w:t>
      </w:r>
      <w:r w:rsidR="0066427C" w:rsidRPr="004D2934">
        <w:rPr>
          <w:rFonts w:ascii="Corbel" w:hAnsi="Corbel"/>
          <w:color w:val="0A2F41" w:themeColor="accent1" w:themeShade="80"/>
          <w:lang w:val="en-US"/>
        </w:rPr>
        <w:t>c</w:t>
      </w:r>
      <w:r w:rsidRPr="004D2934">
        <w:rPr>
          <w:rFonts w:ascii="Corbel" w:hAnsi="Corbel"/>
          <w:color w:val="0A2F41" w:themeColor="accent1" w:themeShade="80"/>
          <w:lang w:val="en-US"/>
        </w:rPr>
        <w:t>ase studies on effective governance models for ecosystem conservation and climate mitigation.</w:t>
      </w:r>
    </w:p>
    <w:p w14:paraId="148CABB4" w14:textId="50E3B848" w:rsidR="000025B7" w:rsidRPr="004D2934" w:rsidRDefault="000025B7" w:rsidP="00A26110">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I</w:t>
      </w:r>
      <w:r w:rsidRPr="004D2934">
        <w:rPr>
          <w:rFonts w:ascii="Corbel" w:hAnsi="Corbel"/>
          <w:i/>
          <w:iCs/>
          <w:color w:val="0A2F41" w:themeColor="accent1" w:themeShade="80"/>
          <w:lang w:val="en-US"/>
        </w:rPr>
        <w:t>nnovative Technologies for Ecosystem Monitoring and Conservation:</w:t>
      </w:r>
      <w:r w:rsidR="005029C4" w:rsidRPr="004D2934">
        <w:rPr>
          <w:rFonts w:ascii="Corbel" w:hAnsi="Corbel"/>
          <w:color w:val="0A2F41" w:themeColor="accent1" w:themeShade="80"/>
          <w:lang w:val="en-US"/>
        </w:rPr>
        <w:t xml:space="preserve"> </w:t>
      </w:r>
      <w:r w:rsidRPr="004D2934">
        <w:rPr>
          <w:rFonts w:ascii="Corbel" w:hAnsi="Corbel"/>
          <w:color w:val="0A2F41" w:themeColor="accent1" w:themeShade="80"/>
          <w:lang w:val="en-US"/>
        </w:rPr>
        <w:t xml:space="preserve">The use of remote sensing, </w:t>
      </w:r>
      <w:r w:rsidR="005E3207" w:rsidRPr="004D2934">
        <w:rPr>
          <w:rFonts w:ascii="Corbel" w:hAnsi="Corbel"/>
          <w:color w:val="0A2F41" w:themeColor="accent1" w:themeShade="80"/>
          <w:lang w:val="en-US"/>
        </w:rPr>
        <w:t>geographic information systems</w:t>
      </w:r>
      <w:r w:rsidRPr="004D2934">
        <w:rPr>
          <w:rFonts w:ascii="Corbel" w:hAnsi="Corbel"/>
          <w:color w:val="0A2F41" w:themeColor="accent1" w:themeShade="80"/>
          <w:lang w:val="en-US"/>
        </w:rPr>
        <w:t>, and other technologies in monitoring ecosystem health and carbon stocks</w:t>
      </w:r>
      <w:r w:rsidR="00C40A1E" w:rsidRPr="004D2934">
        <w:rPr>
          <w:rFonts w:ascii="Corbel" w:hAnsi="Corbel"/>
          <w:color w:val="0A2F41" w:themeColor="accent1" w:themeShade="80"/>
          <w:lang w:val="en-US"/>
        </w:rPr>
        <w:t xml:space="preserve">; as well as emerging </w:t>
      </w:r>
      <w:r w:rsidRPr="004D2934">
        <w:rPr>
          <w:rFonts w:ascii="Corbel" w:hAnsi="Corbel"/>
          <w:color w:val="0A2F41" w:themeColor="accent1" w:themeShade="80"/>
          <w:lang w:val="en-US"/>
        </w:rPr>
        <w:t>technologies for enhancing conservation efforts and mitigating climate change.</w:t>
      </w:r>
    </w:p>
    <w:p w14:paraId="3CCC82ED" w14:textId="1D1ABCEC" w:rsidR="002C3931" w:rsidRDefault="000025B7" w:rsidP="00A26110">
      <w:pPr>
        <w:pStyle w:val="Prrafodelista"/>
        <w:numPr>
          <w:ilvl w:val="0"/>
          <w:numId w:val="6"/>
        </w:numPr>
        <w:jc w:val="both"/>
        <w:rPr>
          <w:rFonts w:ascii="Corbel" w:hAnsi="Corbel"/>
          <w:color w:val="0A2F41" w:themeColor="accent1" w:themeShade="80"/>
          <w:lang w:val="en-US"/>
        </w:rPr>
      </w:pPr>
      <w:r w:rsidRPr="004D2934">
        <w:rPr>
          <w:rFonts w:ascii="Corbel" w:hAnsi="Corbel"/>
          <w:i/>
          <w:iCs/>
          <w:color w:val="0A2F41" w:themeColor="accent1" w:themeShade="80"/>
          <w:lang w:val="en-US"/>
        </w:rPr>
        <w:t>Stakeholder Engagement and Multi-sectoral Partnerships:</w:t>
      </w:r>
      <w:r w:rsidR="001637EB" w:rsidRPr="004D2934">
        <w:rPr>
          <w:rFonts w:ascii="Corbel" w:hAnsi="Corbel"/>
          <w:color w:val="0A2F41" w:themeColor="accent1" w:themeShade="80"/>
          <w:lang w:val="en-US"/>
        </w:rPr>
        <w:t xml:space="preserve"> </w:t>
      </w:r>
      <w:r w:rsidRPr="004D2934">
        <w:rPr>
          <w:rFonts w:ascii="Corbel" w:hAnsi="Corbel"/>
          <w:color w:val="0A2F41" w:themeColor="accent1" w:themeShade="80"/>
          <w:lang w:val="en-US"/>
        </w:rPr>
        <w:t xml:space="preserve">Building effective collaborations among governments, private sector, NGOs, </w:t>
      </w:r>
      <w:r w:rsidR="003A27DA" w:rsidRPr="004D2934">
        <w:rPr>
          <w:rFonts w:ascii="Corbel" w:hAnsi="Corbel"/>
          <w:color w:val="0A2F41" w:themeColor="accent1" w:themeShade="80"/>
          <w:lang w:val="en-US"/>
        </w:rPr>
        <w:t>Indigenous</w:t>
      </w:r>
      <w:r w:rsidRPr="004D2934">
        <w:rPr>
          <w:rFonts w:ascii="Corbel" w:hAnsi="Corbel"/>
          <w:color w:val="0A2F41" w:themeColor="accent1" w:themeShade="80"/>
          <w:lang w:val="en-US"/>
        </w:rPr>
        <w:t xml:space="preserve"> communities, and academia.</w:t>
      </w:r>
      <w:r w:rsidR="001637EB" w:rsidRPr="004D2934">
        <w:rPr>
          <w:rFonts w:ascii="Corbel" w:hAnsi="Corbel"/>
          <w:color w:val="0A2F41" w:themeColor="accent1" w:themeShade="80"/>
          <w:lang w:val="en-US"/>
        </w:rPr>
        <w:t xml:space="preserve"> </w:t>
      </w:r>
      <w:r w:rsidRPr="004D2934">
        <w:rPr>
          <w:rFonts w:ascii="Corbel" w:hAnsi="Corbel"/>
          <w:color w:val="0A2F41" w:themeColor="accent1" w:themeShade="80"/>
          <w:lang w:val="en-US"/>
        </w:rPr>
        <w:t>Case studies of successful partnerships in ecosystem conservation and climate mitigation initiatives.</w:t>
      </w:r>
    </w:p>
    <w:p w14:paraId="4654BE11" w14:textId="4D80F858" w:rsidR="007C3109" w:rsidRPr="004D2934" w:rsidRDefault="007C3109" w:rsidP="00A26110">
      <w:pPr>
        <w:pStyle w:val="Prrafodelista"/>
        <w:numPr>
          <w:ilvl w:val="0"/>
          <w:numId w:val="6"/>
        </w:numPr>
        <w:jc w:val="both"/>
        <w:rPr>
          <w:rFonts w:ascii="Corbel" w:hAnsi="Corbel"/>
          <w:color w:val="0A2F41" w:themeColor="accent1" w:themeShade="80"/>
          <w:lang w:val="en-US"/>
        </w:rPr>
      </w:pPr>
      <w:r>
        <w:rPr>
          <w:rFonts w:ascii="Corbel" w:hAnsi="Corbel"/>
          <w:i/>
          <w:iCs/>
          <w:color w:val="0A2F41" w:themeColor="accent1" w:themeShade="80"/>
          <w:lang w:val="en-US"/>
        </w:rPr>
        <w:t>Adaptation synergies with mitigation:</w:t>
      </w:r>
      <w:r>
        <w:rPr>
          <w:rFonts w:ascii="Corbel" w:hAnsi="Corbel"/>
          <w:color w:val="0A2F41" w:themeColor="accent1" w:themeShade="80"/>
          <w:lang w:val="en-US"/>
        </w:rPr>
        <w:t xml:space="preserve"> </w:t>
      </w:r>
      <w:r w:rsidR="0016518E">
        <w:rPr>
          <w:rFonts w:ascii="Corbel" w:hAnsi="Corbel"/>
          <w:color w:val="0A2F41" w:themeColor="accent1" w:themeShade="80"/>
          <w:lang w:val="en-US"/>
        </w:rPr>
        <w:t xml:space="preserve">Incorporating </w:t>
      </w:r>
      <w:r>
        <w:rPr>
          <w:rFonts w:ascii="Corbel" w:hAnsi="Corbel"/>
          <w:color w:val="0A2F41" w:themeColor="accent1" w:themeShade="80"/>
          <w:lang w:val="en-US"/>
        </w:rPr>
        <w:t>adaptation synergies promote</w:t>
      </w:r>
      <w:r w:rsidR="0016518E">
        <w:rPr>
          <w:rFonts w:ascii="Corbel" w:hAnsi="Corbel"/>
          <w:color w:val="0A2F41" w:themeColor="accent1" w:themeShade="80"/>
          <w:lang w:val="en-US"/>
        </w:rPr>
        <w:t>s</w:t>
      </w:r>
      <w:r>
        <w:rPr>
          <w:rFonts w:ascii="Corbel" w:hAnsi="Corbel"/>
          <w:color w:val="0A2F41" w:themeColor="accent1" w:themeShade="80"/>
          <w:lang w:val="en-US"/>
        </w:rPr>
        <w:t xml:space="preserve"> a more inclusive, efficient,</w:t>
      </w:r>
      <w:r w:rsidR="0016518E">
        <w:rPr>
          <w:rFonts w:ascii="Corbel" w:hAnsi="Corbel"/>
          <w:color w:val="0A2F41" w:themeColor="accent1" w:themeShade="80"/>
          <w:lang w:val="en-US"/>
        </w:rPr>
        <w:t xml:space="preserve"> and impactful approach to tackling climate change and conserving biodiversity. Additionally, this topic emphasizes the importance of leveraging multiple benefits and fosters collaboration across various sectors and stakeholders.</w:t>
      </w:r>
    </w:p>
    <w:p w14:paraId="1F9F921E" w14:textId="3D417C27" w:rsidR="00567C22" w:rsidRPr="004D2934" w:rsidRDefault="00567C22" w:rsidP="00567C22">
      <w:pPr>
        <w:pStyle w:val="Prrafodelista"/>
        <w:numPr>
          <w:ilvl w:val="0"/>
          <w:numId w:val="6"/>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The previous topics can be arranged </w:t>
      </w:r>
      <w:r w:rsidR="00803983" w:rsidRPr="004D2934">
        <w:rPr>
          <w:rFonts w:ascii="Corbel" w:hAnsi="Corbel"/>
          <w:color w:val="0A2F41" w:themeColor="accent1" w:themeShade="80"/>
          <w:lang w:val="en-US"/>
        </w:rPr>
        <w:t xml:space="preserve">by </w:t>
      </w:r>
      <w:r w:rsidRPr="004D2934">
        <w:rPr>
          <w:rFonts w:ascii="Corbel" w:hAnsi="Corbel"/>
          <w:color w:val="0A2F41" w:themeColor="accent1" w:themeShade="80"/>
          <w:lang w:val="en-US"/>
        </w:rPr>
        <w:t xml:space="preserve">allocating two days for comprehensive exploration across four thematic areas </w:t>
      </w:r>
      <w:r w:rsidR="00670802" w:rsidRPr="004D2934">
        <w:rPr>
          <w:rFonts w:ascii="Corbel" w:hAnsi="Corbel"/>
          <w:color w:val="0A2F41" w:themeColor="accent1" w:themeShade="80"/>
          <w:lang w:val="en-US"/>
        </w:rPr>
        <w:t xml:space="preserve">about </w:t>
      </w:r>
      <w:r w:rsidR="00400E1F" w:rsidRPr="004D2934">
        <w:rPr>
          <w:rFonts w:ascii="Corbel" w:hAnsi="Corbel"/>
          <w:color w:val="0A2F41" w:themeColor="accent1" w:themeShade="80"/>
          <w:lang w:val="en-US"/>
        </w:rPr>
        <w:t>conservation, protection and restoration of nature and ecosystems</w:t>
      </w:r>
      <w:r w:rsidRPr="004D2934">
        <w:rPr>
          <w:rFonts w:ascii="Corbel" w:hAnsi="Corbel"/>
          <w:color w:val="0A2F41" w:themeColor="accent1" w:themeShade="80"/>
          <w:lang w:val="en-US"/>
        </w:rPr>
        <w:t>:</w:t>
      </w:r>
    </w:p>
    <w:p w14:paraId="0DA14DE2" w14:textId="19FEF027" w:rsidR="004E1CFA" w:rsidRPr="004D2934" w:rsidRDefault="004E1CFA" w:rsidP="004E1CFA">
      <w:pPr>
        <w:pStyle w:val="Prrafodelista"/>
        <w:numPr>
          <w:ilvl w:val="0"/>
          <w:numId w:val="9"/>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Policy and Economic Frameworks </w:t>
      </w:r>
    </w:p>
    <w:p w14:paraId="3E000843" w14:textId="52B97355" w:rsidR="004E1CFA" w:rsidRPr="004D2934" w:rsidRDefault="004E1CFA" w:rsidP="004E1CFA">
      <w:pPr>
        <w:pStyle w:val="Prrafodelista"/>
        <w:numPr>
          <w:ilvl w:val="0"/>
          <w:numId w:val="9"/>
        </w:numPr>
        <w:jc w:val="both"/>
        <w:rPr>
          <w:rFonts w:ascii="Corbel" w:hAnsi="Corbel"/>
          <w:color w:val="0A2F41" w:themeColor="accent1" w:themeShade="80"/>
          <w:lang w:val="en-US"/>
        </w:rPr>
      </w:pPr>
      <w:r w:rsidRPr="004D2934">
        <w:rPr>
          <w:rFonts w:ascii="Corbel" w:hAnsi="Corbel"/>
          <w:color w:val="0A2F41" w:themeColor="accent1" w:themeShade="80"/>
          <w:lang w:val="en-US"/>
        </w:rPr>
        <w:t xml:space="preserve">Financing and Support Mechanisms </w:t>
      </w:r>
    </w:p>
    <w:p w14:paraId="3C1C294B" w14:textId="16CC7DBA" w:rsidR="00F3278B" w:rsidRPr="004D2934" w:rsidRDefault="00F3278B" w:rsidP="00567C22">
      <w:pPr>
        <w:pStyle w:val="Prrafodelista"/>
        <w:numPr>
          <w:ilvl w:val="0"/>
          <w:numId w:val="9"/>
        </w:numPr>
        <w:jc w:val="both"/>
        <w:rPr>
          <w:rFonts w:ascii="Corbel" w:hAnsi="Corbel"/>
          <w:color w:val="0A2F41" w:themeColor="accent1" w:themeShade="80"/>
          <w:lang w:val="en-US"/>
        </w:rPr>
      </w:pPr>
      <w:r w:rsidRPr="004D2934">
        <w:rPr>
          <w:rFonts w:ascii="Corbel" w:hAnsi="Corbel"/>
          <w:color w:val="0A2F41" w:themeColor="accent1" w:themeShade="80"/>
          <w:lang w:val="en-US"/>
        </w:rPr>
        <w:t>Ecosystem-Based Approaches and Biodiversity</w:t>
      </w:r>
    </w:p>
    <w:p w14:paraId="17EE5B98" w14:textId="77777777" w:rsidR="00F3278B" w:rsidRPr="004D2934" w:rsidRDefault="00F3278B" w:rsidP="00567C22">
      <w:pPr>
        <w:pStyle w:val="Prrafodelista"/>
        <w:numPr>
          <w:ilvl w:val="0"/>
          <w:numId w:val="9"/>
        </w:numPr>
        <w:jc w:val="both"/>
        <w:rPr>
          <w:rFonts w:ascii="Corbel" w:hAnsi="Corbel"/>
          <w:color w:val="0A2F41" w:themeColor="accent1" w:themeShade="80"/>
          <w:lang w:val="en-US"/>
        </w:rPr>
      </w:pPr>
      <w:r w:rsidRPr="004D2934">
        <w:rPr>
          <w:rFonts w:ascii="Corbel" w:hAnsi="Corbel"/>
          <w:color w:val="0A2F41" w:themeColor="accent1" w:themeShade="80"/>
          <w:lang w:val="en-US"/>
        </w:rPr>
        <w:t>Community Involvement and Knowledge Integration</w:t>
      </w:r>
    </w:p>
    <w:bookmarkEnd w:id="2"/>
    <w:p w14:paraId="0D6A80AD" w14:textId="77777777" w:rsidR="00F240C8" w:rsidRPr="004D2934" w:rsidRDefault="00F240C8" w:rsidP="00B53BFD">
      <w:pPr>
        <w:rPr>
          <w:rFonts w:ascii="Cambria" w:hAnsi="Cambria"/>
          <w:lang w:val="en-US"/>
        </w:rPr>
      </w:pPr>
    </w:p>
    <w:sectPr w:rsidR="00F240C8" w:rsidRPr="004D293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F17D8" w14:textId="77777777" w:rsidR="007F0C55" w:rsidRDefault="007F0C55" w:rsidP="00966798">
      <w:pPr>
        <w:spacing w:after="0" w:line="240" w:lineRule="auto"/>
      </w:pPr>
      <w:r>
        <w:separator/>
      </w:r>
    </w:p>
  </w:endnote>
  <w:endnote w:type="continuationSeparator" w:id="0">
    <w:p w14:paraId="576175E9" w14:textId="77777777" w:rsidR="007F0C55" w:rsidRDefault="007F0C55" w:rsidP="0096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A7801" w14:textId="77777777" w:rsidR="007F0C55" w:rsidRDefault="007F0C55" w:rsidP="00966798">
      <w:pPr>
        <w:spacing w:after="0" w:line="240" w:lineRule="auto"/>
      </w:pPr>
      <w:r>
        <w:separator/>
      </w:r>
    </w:p>
  </w:footnote>
  <w:footnote w:type="continuationSeparator" w:id="0">
    <w:p w14:paraId="2F08BCB6" w14:textId="77777777" w:rsidR="007F0C55" w:rsidRDefault="007F0C55" w:rsidP="00966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E6EB9" w14:textId="6DD5EB37" w:rsidR="00966798" w:rsidRDefault="00966798">
    <w:pPr>
      <w:pStyle w:val="Encabezado"/>
    </w:pPr>
    <w:r>
      <w:rPr>
        <w:rFonts w:ascii="Times New Roman"/>
        <w:noProof/>
        <w:sz w:val="20"/>
      </w:rPr>
      <w:drawing>
        <wp:anchor distT="0" distB="0" distL="114300" distR="114300" simplePos="0" relativeHeight="251658240" behindDoc="1" locked="0" layoutInCell="1" allowOverlap="1" wp14:anchorId="42AD9923" wp14:editId="5B238E4B">
          <wp:simplePos x="0" y="0"/>
          <wp:positionH relativeFrom="column">
            <wp:posOffset>-731247</wp:posOffset>
          </wp:positionH>
          <wp:positionV relativeFrom="paragraph">
            <wp:posOffset>-253909</wp:posOffset>
          </wp:positionV>
          <wp:extent cx="1760538" cy="528351"/>
          <wp:effectExtent l="0" t="0" r="0" b="5080"/>
          <wp:wrapTight wrapText="bothSides">
            <wp:wrapPolygon edited="0">
              <wp:start x="2104" y="0"/>
              <wp:lineTo x="701" y="4673"/>
              <wp:lineTo x="0" y="8567"/>
              <wp:lineTo x="0" y="21029"/>
              <wp:lineTo x="935" y="21029"/>
              <wp:lineTo x="21273" y="17135"/>
              <wp:lineTo x="21273" y="4673"/>
              <wp:lineTo x="19169" y="3115"/>
              <wp:lineTo x="5143" y="0"/>
              <wp:lineTo x="2104" y="0"/>
            </wp:wrapPolygon>
          </wp:wrapTight>
          <wp:docPr id="1" name="image1.png"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agen que contiene Interfaz de usuario gráfic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538" cy="5283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560A"/>
    <w:multiLevelType w:val="hybridMultilevel"/>
    <w:tmpl w:val="851C08D8"/>
    <w:lvl w:ilvl="0" w:tplc="A6B63AF4">
      <w:numFmt w:val="bullet"/>
      <w:lvlText w:val=""/>
      <w:lvlJc w:val="left"/>
      <w:pPr>
        <w:ind w:left="1068" w:hanging="360"/>
      </w:pPr>
      <w:rPr>
        <w:rFonts w:ascii="Symbol" w:eastAsiaTheme="minorHAnsi" w:hAnsi="Symbol" w:cstheme="minorBidi"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A27E71"/>
    <w:multiLevelType w:val="hybridMultilevel"/>
    <w:tmpl w:val="8FE4A81A"/>
    <w:lvl w:ilvl="0" w:tplc="EE76B426">
      <w:start w:val="1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5B641A"/>
    <w:multiLevelType w:val="hybridMultilevel"/>
    <w:tmpl w:val="7DA6ED6A"/>
    <w:lvl w:ilvl="0" w:tplc="240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407048E3"/>
    <w:multiLevelType w:val="multilevel"/>
    <w:tmpl w:val="EF5E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D30224"/>
    <w:multiLevelType w:val="hybridMultilevel"/>
    <w:tmpl w:val="80E41B4A"/>
    <w:lvl w:ilvl="0" w:tplc="EE76B426">
      <w:start w:val="1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E3F7AC1"/>
    <w:multiLevelType w:val="hybridMultilevel"/>
    <w:tmpl w:val="2CA8B0EE"/>
    <w:lvl w:ilvl="0" w:tplc="66261BC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3FC3754"/>
    <w:multiLevelType w:val="hybridMultilevel"/>
    <w:tmpl w:val="8FB0D4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7632E1"/>
    <w:multiLevelType w:val="hybridMultilevel"/>
    <w:tmpl w:val="8FB0D4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B872A8"/>
    <w:multiLevelType w:val="hybridMultilevel"/>
    <w:tmpl w:val="EB5231EE"/>
    <w:lvl w:ilvl="0" w:tplc="A6B63AF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9B0AB4"/>
    <w:multiLevelType w:val="hybridMultilevel"/>
    <w:tmpl w:val="774AE0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AD3841"/>
    <w:multiLevelType w:val="hybridMultilevel"/>
    <w:tmpl w:val="B010D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7610F23"/>
    <w:multiLevelType w:val="hybridMultilevel"/>
    <w:tmpl w:val="EA8C8EF6"/>
    <w:lvl w:ilvl="0" w:tplc="EE76B426">
      <w:start w:val="1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7940553">
    <w:abstractNumId w:val="1"/>
  </w:num>
  <w:num w:numId="2" w16cid:durableId="435370123">
    <w:abstractNumId w:val="10"/>
  </w:num>
  <w:num w:numId="3" w16cid:durableId="1775326801">
    <w:abstractNumId w:val="5"/>
  </w:num>
  <w:num w:numId="4" w16cid:durableId="1910799066">
    <w:abstractNumId w:val="4"/>
  </w:num>
  <w:num w:numId="5" w16cid:durableId="1315063595">
    <w:abstractNumId w:val="11"/>
  </w:num>
  <w:num w:numId="6" w16cid:durableId="1467507253">
    <w:abstractNumId w:val="6"/>
  </w:num>
  <w:num w:numId="7" w16cid:durableId="1236210463">
    <w:abstractNumId w:val="9"/>
  </w:num>
  <w:num w:numId="8" w16cid:durableId="269705312">
    <w:abstractNumId w:val="7"/>
  </w:num>
  <w:num w:numId="9" w16cid:durableId="2021882919">
    <w:abstractNumId w:val="2"/>
  </w:num>
  <w:num w:numId="10" w16cid:durableId="1046950610">
    <w:abstractNumId w:val="8"/>
  </w:num>
  <w:num w:numId="11" w16cid:durableId="1009909890">
    <w:abstractNumId w:val="3"/>
  </w:num>
  <w:num w:numId="12" w16cid:durableId="11012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oNotDisplayPageBoundarie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98"/>
    <w:rsid w:val="000025B7"/>
    <w:rsid w:val="00005FBF"/>
    <w:rsid w:val="0000609E"/>
    <w:rsid w:val="000070CE"/>
    <w:rsid w:val="00010027"/>
    <w:rsid w:val="00012812"/>
    <w:rsid w:val="0001388C"/>
    <w:rsid w:val="00023169"/>
    <w:rsid w:val="000266CE"/>
    <w:rsid w:val="00036541"/>
    <w:rsid w:val="00042FF2"/>
    <w:rsid w:val="00043162"/>
    <w:rsid w:val="000449C6"/>
    <w:rsid w:val="00046BAC"/>
    <w:rsid w:val="00051B51"/>
    <w:rsid w:val="00054B43"/>
    <w:rsid w:val="0005562D"/>
    <w:rsid w:val="00064824"/>
    <w:rsid w:val="00064AC9"/>
    <w:rsid w:val="00066205"/>
    <w:rsid w:val="000713F8"/>
    <w:rsid w:val="00073A7E"/>
    <w:rsid w:val="00074A39"/>
    <w:rsid w:val="000758D8"/>
    <w:rsid w:val="00075EB2"/>
    <w:rsid w:val="00081AED"/>
    <w:rsid w:val="00082AB0"/>
    <w:rsid w:val="00086880"/>
    <w:rsid w:val="00091FB7"/>
    <w:rsid w:val="000922D2"/>
    <w:rsid w:val="000955C5"/>
    <w:rsid w:val="00096B3C"/>
    <w:rsid w:val="000A6E20"/>
    <w:rsid w:val="000B1BFE"/>
    <w:rsid w:val="000B4FA4"/>
    <w:rsid w:val="000B6841"/>
    <w:rsid w:val="000C087F"/>
    <w:rsid w:val="000C0A09"/>
    <w:rsid w:val="000D32C2"/>
    <w:rsid w:val="000D5F24"/>
    <w:rsid w:val="000E30DB"/>
    <w:rsid w:val="000E596E"/>
    <w:rsid w:val="000E5C17"/>
    <w:rsid w:val="000E5DDF"/>
    <w:rsid w:val="00101E55"/>
    <w:rsid w:val="001060A6"/>
    <w:rsid w:val="00106529"/>
    <w:rsid w:val="00111D96"/>
    <w:rsid w:val="001139A7"/>
    <w:rsid w:val="00121369"/>
    <w:rsid w:val="00126BB4"/>
    <w:rsid w:val="00132722"/>
    <w:rsid w:val="00133707"/>
    <w:rsid w:val="00133ECA"/>
    <w:rsid w:val="00137F50"/>
    <w:rsid w:val="001402F6"/>
    <w:rsid w:val="001428EB"/>
    <w:rsid w:val="00144115"/>
    <w:rsid w:val="00144E8E"/>
    <w:rsid w:val="0014627E"/>
    <w:rsid w:val="00152A58"/>
    <w:rsid w:val="00157697"/>
    <w:rsid w:val="00160E80"/>
    <w:rsid w:val="00163033"/>
    <w:rsid w:val="001637EB"/>
    <w:rsid w:val="0016518E"/>
    <w:rsid w:val="00165354"/>
    <w:rsid w:val="00167FD0"/>
    <w:rsid w:val="00172AFB"/>
    <w:rsid w:val="00177FBE"/>
    <w:rsid w:val="00181BE1"/>
    <w:rsid w:val="00186055"/>
    <w:rsid w:val="00191CEC"/>
    <w:rsid w:val="001A6923"/>
    <w:rsid w:val="001B703E"/>
    <w:rsid w:val="001B7F13"/>
    <w:rsid w:val="001C0248"/>
    <w:rsid w:val="001C0CFA"/>
    <w:rsid w:val="001C7D09"/>
    <w:rsid w:val="001D3785"/>
    <w:rsid w:val="001D4FEA"/>
    <w:rsid w:val="001D6CF1"/>
    <w:rsid w:val="001D6F48"/>
    <w:rsid w:val="001E0414"/>
    <w:rsid w:val="001E11F4"/>
    <w:rsid w:val="001E7C23"/>
    <w:rsid w:val="001F3FCB"/>
    <w:rsid w:val="001F56EF"/>
    <w:rsid w:val="001F6D17"/>
    <w:rsid w:val="0020396F"/>
    <w:rsid w:val="002039F8"/>
    <w:rsid w:val="00203EA6"/>
    <w:rsid w:val="0021563B"/>
    <w:rsid w:val="00222009"/>
    <w:rsid w:val="00225783"/>
    <w:rsid w:val="0023166E"/>
    <w:rsid w:val="00231F31"/>
    <w:rsid w:val="00242E95"/>
    <w:rsid w:val="00254CB5"/>
    <w:rsid w:val="00254EB2"/>
    <w:rsid w:val="00260D83"/>
    <w:rsid w:val="002709C0"/>
    <w:rsid w:val="00271544"/>
    <w:rsid w:val="00274F8A"/>
    <w:rsid w:val="00275C2D"/>
    <w:rsid w:val="00281A9B"/>
    <w:rsid w:val="0028282D"/>
    <w:rsid w:val="00283BB2"/>
    <w:rsid w:val="002927B3"/>
    <w:rsid w:val="00292C4C"/>
    <w:rsid w:val="00295ADD"/>
    <w:rsid w:val="002A5D11"/>
    <w:rsid w:val="002B293B"/>
    <w:rsid w:val="002C0202"/>
    <w:rsid w:val="002C2E7D"/>
    <w:rsid w:val="002C3931"/>
    <w:rsid w:val="002D4A3D"/>
    <w:rsid w:val="002E427A"/>
    <w:rsid w:val="002F535F"/>
    <w:rsid w:val="002F5F53"/>
    <w:rsid w:val="00305C81"/>
    <w:rsid w:val="0030733F"/>
    <w:rsid w:val="00310859"/>
    <w:rsid w:val="00313B8D"/>
    <w:rsid w:val="003152BC"/>
    <w:rsid w:val="003178CD"/>
    <w:rsid w:val="00320D29"/>
    <w:rsid w:val="00322A48"/>
    <w:rsid w:val="00323196"/>
    <w:rsid w:val="003247A1"/>
    <w:rsid w:val="003249B7"/>
    <w:rsid w:val="00324A14"/>
    <w:rsid w:val="003269E8"/>
    <w:rsid w:val="00330661"/>
    <w:rsid w:val="00331E30"/>
    <w:rsid w:val="0033309C"/>
    <w:rsid w:val="00334E13"/>
    <w:rsid w:val="003358F9"/>
    <w:rsid w:val="0034053B"/>
    <w:rsid w:val="00341F22"/>
    <w:rsid w:val="0034294B"/>
    <w:rsid w:val="00345FFD"/>
    <w:rsid w:val="003616C2"/>
    <w:rsid w:val="00361E15"/>
    <w:rsid w:val="003628DB"/>
    <w:rsid w:val="003632EF"/>
    <w:rsid w:val="00366E32"/>
    <w:rsid w:val="00386C4E"/>
    <w:rsid w:val="003A27DA"/>
    <w:rsid w:val="003A2852"/>
    <w:rsid w:val="003A38D2"/>
    <w:rsid w:val="003A45D1"/>
    <w:rsid w:val="003A5EB8"/>
    <w:rsid w:val="003B3E1B"/>
    <w:rsid w:val="003C15E1"/>
    <w:rsid w:val="003C6FD5"/>
    <w:rsid w:val="003D1F40"/>
    <w:rsid w:val="003D1FA2"/>
    <w:rsid w:val="003D4746"/>
    <w:rsid w:val="003E730C"/>
    <w:rsid w:val="003F3D3C"/>
    <w:rsid w:val="003F433D"/>
    <w:rsid w:val="00400E1F"/>
    <w:rsid w:val="004016E0"/>
    <w:rsid w:val="004115AA"/>
    <w:rsid w:val="00411ADE"/>
    <w:rsid w:val="00414FF4"/>
    <w:rsid w:val="00417638"/>
    <w:rsid w:val="004348FD"/>
    <w:rsid w:val="00437502"/>
    <w:rsid w:val="00437B4A"/>
    <w:rsid w:val="00442963"/>
    <w:rsid w:val="00445EF0"/>
    <w:rsid w:val="004578BC"/>
    <w:rsid w:val="00463EE0"/>
    <w:rsid w:val="00467982"/>
    <w:rsid w:val="00470437"/>
    <w:rsid w:val="00471600"/>
    <w:rsid w:val="00476512"/>
    <w:rsid w:val="00477B55"/>
    <w:rsid w:val="00481C90"/>
    <w:rsid w:val="00483007"/>
    <w:rsid w:val="004A2AB3"/>
    <w:rsid w:val="004A7B7A"/>
    <w:rsid w:val="004B04D6"/>
    <w:rsid w:val="004B7430"/>
    <w:rsid w:val="004C2214"/>
    <w:rsid w:val="004C6BA2"/>
    <w:rsid w:val="004D1CCE"/>
    <w:rsid w:val="004D2934"/>
    <w:rsid w:val="004E1CFA"/>
    <w:rsid w:val="004E1F91"/>
    <w:rsid w:val="004E437B"/>
    <w:rsid w:val="004F3219"/>
    <w:rsid w:val="004F626C"/>
    <w:rsid w:val="004F7DB7"/>
    <w:rsid w:val="004F7F45"/>
    <w:rsid w:val="004F7FFD"/>
    <w:rsid w:val="005029C4"/>
    <w:rsid w:val="00502AF6"/>
    <w:rsid w:val="0051022A"/>
    <w:rsid w:val="00510504"/>
    <w:rsid w:val="00511CFF"/>
    <w:rsid w:val="00512660"/>
    <w:rsid w:val="00512D4D"/>
    <w:rsid w:val="00513D93"/>
    <w:rsid w:val="00525FC6"/>
    <w:rsid w:val="005316B4"/>
    <w:rsid w:val="0053359E"/>
    <w:rsid w:val="0053618B"/>
    <w:rsid w:val="00536CB7"/>
    <w:rsid w:val="00537300"/>
    <w:rsid w:val="0053778A"/>
    <w:rsid w:val="00537C5D"/>
    <w:rsid w:val="00542155"/>
    <w:rsid w:val="00550899"/>
    <w:rsid w:val="00554627"/>
    <w:rsid w:val="0056743C"/>
    <w:rsid w:val="00567C22"/>
    <w:rsid w:val="00575BD9"/>
    <w:rsid w:val="00577F5D"/>
    <w:rsid w:val="00581D6E"/>
    <w:rsid w:val="00583513"/>
    <w:rsid w:val="00585971"/>
    <w:rsid w:val="005906B0"/>
    <w:rsid w:val="0059167C"/>
    <w:rsid w:val="00595D68"/>
    <w:rsid w:val="00597E5C"/>
    <w:rsid w:val="005A6707"/>
    <w:rsid w:val="005B16EB"/>
    <w:rsid w:val="005B3847"/>
    <w:rsid w:val="005B7A64"/>
    <w:rsid w:val="005C0AF8"/>
    <w:rsid w:val="005C3C35"/>
    <w:rsid w:val="005C3F84"/>
    <w:rsid w:val="005D21A1"/>
    <w:rsid w:val="005D6C24"/>
    <w:rsid w:val="005E10B5"/>
    <w:rsid w:val="005E3132"/>
    <w:rsid w:val="005E3207"/>
    <w:rsid w:val="005E5559"/>
    <w:rsid w:val="005E63EA"/>
    <w:rsid w:val="005E644D"/>
    <w:rsid w:val="005E726A"/>
    <w:rsid w:val="005F175C"/>
    <w:rsid w:val="005F3AE9"/>
    <w:rsid w:val="005F3E0D"/>
    <w:rsid w:val="005F5C4A"/>
    <w:rsid w:val="005F6BDA"/>
    <w:rsid w:val="00600847"/>
    <w:rsid w:val="00600A13"/>
    <w:rsid w:val="00604158"/>
    <w:rsid w:val="00612E91"/>
    <w:rsid w:val="0061328D"/>
    <w:rsid w:val="00616B38"/>
    <w:rsid w:val="00625DFB"/>
    <w:rsid w:val="00641BDC"/>
    <w:rsid w:val="00643F1F"/>
    <w:rsid w:val="0065264D"/>
    <w:rsid w:val="006554BA"/>
    <w:rsid w:val="006637E7"/>
    <w:rsid w:val="0066427C"/>
    <w:rsid w:val="00670802"/>
    <w:rsid w:val="0067252C"/>
    <w:rsid w:val="00672699"/>
    <w:rsid w:val="00673004"/>
    <w:rsid w:val="0067532F"/>
    <w:rsid w:val="00675669"/>
    <w:rsid w:val="00675E1F"/>
    <w:rsid w:val="006774C1"/>
    <w:rsid w:val="006842AB"/>
    <w:rsid w:val="006860E5"/>
    <w:rsid w:val="00694E72"/>
    <w:rsid w:val="006A081C"/>
    <w:rsid w:val="006A1B9A"/>
    <w:rsid w:val="006A516B"/>
    <w:rsid w:val="006B5F1D"/>
    <w:rsid w:val="006C798D"/>
    <w:rsid w:val="006D6433"/>
    <w:rsid w:val="006D73AD"/>
    <w:rsid w:val="006E340B"/>
    <w:rsid w:val="006E394D"/>
    <w:rsid w:val="006F297B"/>
    <w:rsid w:val="006F329F"/>
    <w:rsid w:val="006F63AB"/>
    <w:rsid w:val="006F6BD9"/>
    <w:rsid w:val="00700830"/>
    <w:rsid w:val="00703DA4"/>
    <w:rsid w:val="00703E4B"/>
    <w:rsid w:val="00704FCA"/>
    <w:rsid w:val="00706B12"/>
    <w:rsid w:val="00717DE3"/>
    <w:rsid w:val="007212D1"/>
    <w:rsid w:val="00721755"/>
    <w:rsid w:val="00727A40"/>
    <w:rsid w:val="00730547"/>
    <w:rsid w:val="007311F9"/>
    <w:rsid w:val="00740956"/>
    <w:rsid w:val="007435A5"/>
    <w:rsid w:val="007514F0"/>
    <w:rsid w:val="00755B09"/>
    <w:rsid w:val="00761C66"/>
    <w:rsid w:val="00761F96"/>
    <w:rsid w:val="00764938"/>
    <w:rsid w:val="00771796"/>
    <w:rsid w:val="00771D99"/>
    <w:rsid w:val="00774B4C"/>
    <w:rsid w:val="00783951"/>
    <w:rsid w:val="00795034"/>
    <w:rsid w:val="00797D33"/>
    <w:rsid w:val="007A455C"/>
    <w:rsid w:val="007A50FC"/>
    <w:rsid w:val="007B033C"/>
    <w:rsid w:val="007B147C"/>
    <w:rsid w:val="007B2C38"/>
    <w:rsid w:val="007B44A2"/>
    <w:rsid w:val="007C1210"/>
    <w:rsid w:val="007C3109"/>
    <w:rsid w:val="007C7D64"/>
    <w:rsid w:val="007C7EB0"/>
    <w:rsid w:val="007D4889"/>
    <w:rsid w:val="007D57DC"/>
    <w:rsid w:val="007D6F29"/>
    <w:rsid w:val="007E05D1"/>
    <w:rsid w:val="007E322F"/>
    <w:rsid w:val="007E471D"/>
    <w:rsid w:val="007F017A"/>
    <w:rsid w:val="007F068C"/>
    <w:rsid w:val="007F0C55"/>
    <w:rsid w:val="007F13D7"/>
    <w:rsid w:val="008035B3"/>
    <w:rsid w:val="00803983"/>
    <w:rsid w:val="00804F76"/>
    <w:rsid w:val="0081002E"/>
    <w:rsid w:val="0081336A"/>
    <w:rsid w:val="00820A46"/>
    <w:rsid w:val="00823456"/>
    <w:rsid w:val="0082707D"/>
    <w:rsid w:val="00830A96"/>
    <w:rsid w:val="00832032"/>
    <w:rsid w:val="00833096"/>
    <w:rsid w:val="00833FA6"/>
    <w:rsid w:val="008352BA"/>
    <w:rsid w:val="00840560"/>
    <w:rsid w:val="00844451"/>
    <w:rsid w:val="00846C34"/>
    <w:rsid w:val="00851F27"/>
    <w:rsid w:val="0086142A"/>
    <w:rsid w:val="00861915"/>
    <w:rsid w:val="00866BB8"/>
    <w:rsid w:val="00870586"/>
    <w:rsid w:val="008828FA"/>
    <w:rsid w:val="00883D7A"/>
    <w:rsid w:val="00885465"/>
    <w:rsid w:val="00886AB3"/>
    <w:rsid w:val="00890AFC"/>
    <w:rsid w:val="0089437C"/>
    <w:rsid w:val="00897003"/>
    <w:rsid w:val="008A0C0F"/>
    <w:rsid w:val="008A160B"/>
    <w:rsid w:val="008A3535"/>
    <w:rsid w:val="008A65FB"/>
    <w:rsid w:val="008A7E96"/>
    <w:rsid w:val="008B1664"/>
    <w:rsid w:val="008B5310"/>
    <w:rsid w:val="008C138D"/>
    <w:rsid w:val="008D128E"/>
    <w:rsid w:val="008D3DDE"/>
    <w:rsid w:val="008D3F79"/>
    <w:rsid w:val="008D4DB6"/>
    <w:rsid w:val="008D5C93"/>
    <w:rsid w:val="008E332E"/>
    <w:rsid w:val="008E429E"/>
    <w:rsid w:val="008E699F"/>
    <w:rsid w:val="008E6AC7"/>
    <w:rsid w:val="008F0176"/>
    <w:rsid w:val="008F2D33"/>
    <w:rsid w:val="00900443"/>
    <w:rsid w:val="009016E6"/>
    <w:rsid w:val="00902461"/>
    <w:rsid w:val="00902757"/>
    <w:rsid w:val="0090576D"/>
    <w:rsid w:val="009063F6"/>
    <w:rsid w:val="009066D9"/>
    <w:rsid w:val="009127B5"/>
    <w:rsid w:val="00915E6E"/>
    <w:rsid w:val="0091703E"/>
    <w:rsid w:val="009179E8"/>
    <w:rsid w:val="00922E9E"/>
    <w:rsid w:val="00924F0F"/>
    <w:rsid w:val="00925777"/>
    <w:rsid w:val="00933B79"/>
    <w:rsid w:val="0093614B"/>
    <w:rsid w:val="00936B86"/>
    <w:rsid w:val="00936E04"/>
    <w:rsid w:val="00937030"/>
    <w:rsid w:val="00937074"/>
    <w:rsid w:val="009414A9"/>
    <w:rsid w:val="00943057"/>
    <w:rsid w:val="00945053"/>
    <w:rsid w:val="00952FD2"/>
    <w:rsid w:val="009624CA"/>
    <w:rsid w:val="00966798"/>
    <w:rsid w:val="00970C35"/>
    <w:rsid w:val="00970C95"/>
    <w:rsid w:val="009728F0"/>
    <w:rsid w:val="0097513F"/>
    <w:rsid w:val="009754C3"/>
    <w:rsid w:val="00975BD5"/>
    <w:rsid w:val="0098327A"/>
    <w:rsid w:val="00984228"/>
    <w:rsid w:val="00985077"/>
    <w:rsid w:val="00986527"/>
    <w:rsid w:val="0098751C"/>
    <w:rsid w:val="009879F5"/>
    <w:rsid w:val="00996F1C"/>
    <w:rsid w:val="009A0210"/>
    <w:rsid w:val="009A3F71"/>
    <w:rsid w:val="009A43D3"/>
    <w:rsid w:val="009B317E"/>
    <w:rsid w:val="009B50C0"/>
    <w:rsid w:val="009B7DE2"/>
    <w:rsid w:val="009C633A"/>
    <w:rsid w:val="009C63D0"/>
    <w:rsid w:val="009C6BEA"/>
    <w:rsid w:val="009C6C31"/>
    <w:rsid w:val="009D1393"/>
    <w:rsid w:val="009F46E0"/>
    <w:rsid w:val="009F6E97"/>
    <w:rsid w:val="00A006CF"/>
    <w:rsid w:val="00A069B4"/>
    <w:rsid w:val="00A105B5"/>
    <w:rsid w:val="00A11501"/>
    <w:rsid w:val="00A11E33"/>
    <w:rsid w:val="00A2032E"/>
    <w:rsid w:val="00A26110"/>
    <w:rsid w:val="00A26543"/>
    <w:rsid w:val="00A31681"/>
    <w:rsid w:val="00A31D0B"/>
    <w:rsid w:val="00A35E14"/>
    <w:rsid w:val="00A416C9"/>
    <w:rsid w:val="00A50B27"/>
    <w:rsid w:val="00A51101"/>
    <w:rsid w:val="00A512D4"/>
    <w:rsid w:val="00A60F72"/>
    <w:rsid w:val="00A645FE"/>
    <w:rsid w:val="00A656A2"/>
    <w:rsid w:val="00A748DC"/>
    <w:rsid w:val="00A856C6"/>
    <w:rsid w:val="00A85E02"/>
    <w:rsid w:val="00A910C1"/>
    <w:rsid w:val="00AA7321"/>
    <w:rsid w:val="00AB3911"/>
    <w:rsid w:val="00AB5EF4"/>
    <w:rsid w:val="00AC1F10"/>
    <w:rsid w:val="00AC3B06"/>
    <w:rsid w:val="00AC75B7"/>
    <w:rsid w:val="00AD04D0"/>
    <w:rsid w:val="00AD1D55"/>
    <w:rsid w:val="00AD606F"/>
    <w:rsid w:val="00AE39FC"/>
    <w:rsid w:val="00AE3A5F"/>
    <w:rsid w:val="00AE4165"/>
    <w:rsid w:val="00AF27D8"/>
    <w:rsid w:val="00B04AB6"/>
    <w:rsid w:val="00B1239E"/>
    <w:rsid w:val="00B16EE8"/>
    <w:rsid w:val="00B17CD5"/>
    <w:rsid w:val="00B22B54"/>
    <w:rsid w:val="00B4404B"/>
    <w:rsid w:val="00B537E3"/>
    <w:rsid w:val="00B53BFD"/>
    <w:rsid w:val="00B6512B"/>
    <w:rsid w:val="00B722D1"/>
    <w:rsid w:val="00B7287C"/>
    <w:rsid w:val="00B80CEB"/>
    <w:rsid w:val="00B92930"/>
    <w:rsid w:val="00BA6A35"/>
    <w:rsid w:val="00BB457D"/>
    <w:rsid w:val="00BB6730"/>
    <w:rsid w:val="00BB7724"/>
    <w:rsid w:val="00BC466C"/>
    <w:rsid w:val="00BC4E21"/>
    <w:rsid w:val="00BC6A71"/>
    <w:rsid w:val="00BD0BD9"/>
    <w:rsid w:val="00BD5173"/>
    <w:rsid w:val="00BE1A0E"/>
    <w:rsid w:val="00C02A42"/>
    <w:rsid w:val="00C02C2B"/>
    <w:rsid w:val="00C079F4"/>
    <w:rsid w:val="00C11B64"/>
    <w:rsid w:val="00C228A8"/>
    <w:rsid w:val="00C27BE2"/>
    <w:rsid w:val="00C318A1"/>
    <w:rsid w:val="00C33286"/>
    <w:rsid w:val="00C34A46"/>
    <w:rsid w:val="00C36975"/>
    <w:rsid w:val="00C40A1E"/>
    <w:rsid w:val="00C458F9"/>
    <w:rsid w:val="00C5095C"/>
    <w:rsid w:val="00C50A08"/>
    <w:rsid w:val="00C50BC9"/>
    <w:rsid w:val="00C52772"/>
    <w:rsid w:val="00C53552"/>
    <w:rsid w:val="00C53A1D"/>
    <w:rsid w:val="00C577F3"/>
    <w:rsid w:val="00C60D1B"/>
    <w:rsid w:val="00C62C45"/>
    <w:rsid w:val="00C67ABE"/>
    <w:rsid w:val="00C70768"/>
    <w:rsid w:val="00C7330C"/>
    <w:rsid w:val="00C75AC4"/>
    <w:rsid w:val="00C75DB5"/>
    <w:rsid w:val="00C82EFB"/>
    <w:rsid w:val="00C95391"/>
    <w:rsid w:val="00CA4877"/>
    <w:rsid w:val="00CA7071"/>
    <w:rsid w:val="00CA71E0"/>
    <w:rsid w:val="00CB55F5"/>
    <w:rsid w:val="00CB6428"/>
    <w:rsid w:val="00CC0136"/>
    <w:rsid w:val="00CC0B7A"/>
    <w:rsid w:val="00CC25AD"/>
    <w:rsid w:val="00CC4BE3"/>
    <w:rsid w:val="00CD41BF"/>
    <w:rsid w:val="00CD6F56"/>
    <w:rsid w:val="00CE5537"/>
    <w:rsid w:val="00CF0CE6"/>
    <w:rsid w:val="00CF27C3"/>
    <w:rsid w:val="00CF52BA"/>
    <w:rsid w:val="00CF7B27"/>
    <w:rsid w:val="00CF7B38"/>
    <w:rsid w:val="00D04E1B"/>
    <w:rsid w:val="00D11687"/>
    <w:rsid w:val="00D135F8"/>
    <w:rsid w:val="00D161C8"/>
    <w:rsid w:val="00D17CFB"/>
    <w:rsid w:val="00D24F1F"/>
    <w:rsid w:val="00D2563E"/>
    <w:rsid w:val="00D319DB"/>
    <w:rsid w:val="00D46468"/>
    <w:rsid w:val="00D46586"/>
    <w:rsid w:val="00D57067"/>
    <w:rsid w:val="00D62FB1"/>
    <w:rsid w:val="00D67267"/>
    <w:rsid w:val="00D67603"/>
    <w:rsid w:val="00D7420C"/>
    <w:rsid w:val="00D76A42"/>
    <w:rsid w:val="00D81D08"/>
    <w:rsid w:val="00D83FE4"/>
    <w:rsid w:val="00D85709"/>
    <w:rsid w:val="00D864F1"/>
    <w:rsid w:val="00D87E62"/>
    <w:rsid w:val="00D907C1"/>
    <w:rsid w:val="00D90CA7"/>
    <w:rsid w:val="00D92035"/>
    <w:rsid w:val="00D94ABA"/>
    <w:rsid w:val="00D954C7"/>
    <w:rsid w:val="00D962D3"/>
    <w:rsid w:val="00DB3E4F"/>
    <w:rsid w:val="00DB5747"/>
    <w:rsid w:val="00DB61BE"/>
    <w:rsid w:val="00DB7CB8"/>
    <w:rsid w:val="00DC217B"/>
    <w:rsid w:val="00DC57C6"/>
    <w:rsid w:val="00DC5C97"/>
    <w:rsid w:val="00DC6C32"/>
    <w:rsid w:val="00DD05E8"/>
    <w:rsid w:val="00DD54DC"/>
    <w:rsid w:val="00DD6254"/>
    <w:rsid w:val="00DD6FF8"/>
    <w:rsid w:val="00DE2E51"/>
    <w:rsid w:val="00DE4BB9"/>
    <w:rsid w:val="00DE6774"/>
    <w:rsid w:val="00DF7899"/>
    <w:rsid w:val="00E007FB"/>
    <w:rsid w:val="00E03FC5"/>
    <w:rsid w:val="00E05946"/>
    <w:rsid w:val="00E077A8"/>
    <w:rsid w:val="00E10DD8"/>
    <w:rsid w:val="00E160A8"/>
    <w:rsid w:val="00E16E11"/>
    <w:rsid w:val="00E247BA"/>
    <w:rsid w:val="00E35ADD"/>
    <w:rsid w:val="00E3759F"/>
    <w:rsid w:val="00E37E86"/>
    <w:rsid w:val="00E46514"/>
    <w:rsid w:val="00E4710E"/>
    <w:rsid w:val="00E50F79"/>
    <w:rsid w:val="00E51F7D"/>
    <w:rsid w:val="00E55607"/>
    <w:rsid w:val="00E57DF8"/>
    <w:rsid w:val="00E67DAF"/>
    <w:rsid w:val="00E7144F"/>
    <w:rsid w:val="00E76EA3"/>
    <w:rsid w:val="00E84453"/>
    <w:rsid w:val="00E86928"/>
    <w:rsid w:val="00E873E7"/>
    <w:rsid w:val="00E95BFA"/>
    <w:rsid w:val="00E96A11"/>
    <w:rsid w:val="00EA1603"/>
    <w:rsid w:val="00EA7178"/>
    <w:rsid w:val="00EB3F14"/>
    <w:rsid w:val="00ED227B"/>
    <w:rsid w:val="00ED2286"/>
    <w:rsid w:val="00ED349F"/>
    <w:rsid w:val="00ED4049"/>
    <w:rsid w:val="00ED4227"/>
    <w:rsid w:val="00ED5209"/>
    <w:rsid w:val="00EE0BBC"/>
    <w:rsid w:val="00EF1A55"/>
    <w:rsid w:val="00EF2FDD"/>
    <w:rsid w:val="00EF5A48"/>
    <w:rsid w:val="00EF7A59"/>
    <w:rsid w:val="00F01EDE"/>
    <w:rsid w:val="00F0652B"/>
    <w:rsid w:val="00F12F55"/>
    <w:rsid w:val="00F16786"/>
    <w:rsid w:val="00F240C8"/>
    <w:rsid w:val="00F3278B"/>
    <w:rsid w:val="00F37B81"/>
    <w:rsid w:val="00F41EAB"/>
    <w:rsid w:val="00F570C0"/>
    <w:rsid w:val="00F62A41"/>
    <w:rsid w:val="00F65EDF"/>
    <w:rsid w:val="00F67CC0"/>
    <w:rsid w:val="00F759E5"/>
    <w:rsid w:val="00F84712"/>
    <w:rsid w:val="00F84D45"/>
    <w:rsid w:val="00F96D37"/>
    <w:rsid w:val="00FA0032"/>
    <w:rsid w:val="00FA088F"/>
    <w:rsid w:val="00FA1CAB"/>
    <w:rsid w:val="00FA2B50"/>
    <w:rsid w:val="00FA3F80"/>
    <w:rsid w:val="00FA53F1"/>
    <w:rsid w:val="00FB0A7A"/>
    <w:rsid w:val="00FB3C48"/>
    <w:rsid w:val="00FB3D5A"/>
    <w:rsid w:val="00FB4436"/>
    <w:rsid w:val="00FB4580"/>
    <w:rsid w:val="00FB74CC"/>
    <w:rsid w:val="00FC0EC9"/>
    <w:rsid w:val="00FC1290"/>
    <w:rsid w:val="00FD09F3"/>
    <w:rsid w:val="00FE38D4"/>
    <w:rsid w:val="00FE4FB1"/>
    <w:rsid w:val="00FE5F5E"/>
    <w:rsid w:val="00FF3E0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B9F2"/>
  <w15:chartTrackingRefBased/>
  <w15:docId w15:val="{EAAE3F73-2848-4E92-BF69-CB1363D5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6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66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667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667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667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667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667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667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6679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67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667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667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667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667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667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667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667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66798"/>
    <w:rPr>
      <w:rFonts w:eastAsiaTheme="majorEastAsia" w:cstheme="majorBidi"/>
      <w:color w:val="272727" w:themeColor="text1" w:themeTint="D8"/>
    </w:rPr>
  </w:style>
  <w:style w:type="paragraph" w:styleId="Ttulo">
    <w:name w:val="Title"/>
    <w:basedOn w:val="Normal"/>
    <w:next w:val="Normal"/>
    <w:link w:val="TtuloCar"/>
    <w:uiPriority w:val="10"/>
    <w:qFormat/>
    <w:rsid w:val="00966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67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667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667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66798"/>
    <w:pPr>
      <w:spacing w:before="160"/>
      <w:jc w:val="center"/>
    </w:pPr>
    <w:rPr>
      <w:i/>
      <w:iCs/>
      <w:color w:val="404040" w:themeColor="text1" w:themeTint="BF"/>
    </w:rPr>
  </w:style>
  <w:style w:type="character" w:customStyle="1" w:styleId="CitaCar">
    <w:name w:val="Cita Car"/>
    <w:basedOn w:val="Fuentedeprrafopredeter"/>
    <w:link w:val="Cita"/>
    <w:uiPriority w:val="29"/>
    <w:rsid w:val="00966798"/>
    <w:rPr>
      <w:i/>
      <w:iCs/>
      <w:color w:val="404040" w:themeColor="text1" w:themeTint="BF"/>
    </w:rPr>
  </w:style>
  <w:style w:type="paragraph" w:styleId="Prrafodelista">
    <w:name w:val="List Paragraph"/>
    <w:basedOn w:val="Normal"/>
    <w:uiPriority w:val="34"/>
    <w:qFormat/>
    <w:rsid w:val="00966798"/>
    <w:pPr>
      <w:ind w:left="720"/>
      <w:contextualSpacing/>
    </w:pPr>
  </w:style>
  <w:style w:type="character" w:styleId="nfasisintenso">
    <w:name w:val="Intense Emphasis"/>
    <w:basedOn w:val="Fuentedeprrafopredeter"/>
    <w:uiPriority w:val="21"/>
    <w:qFormat/>
    <w:rsid w:val="00966798"/>
    <w:rPr>
      <w:i/>
      <w:iCs/>
      <w:color w:val="0F4761" w:themeColor="accent1" w:themeShade="BF"/>
    </w:rPr>
  </w:style>
  <w:style w:type="paragraph" w:styleId="Citadestacada">
    <w:name w:val="Intense Quote"/>
    <w:basedOn w:val="Normal"/>
    <w:next w:val="Normal"/>
    <w:link w:val="CitadestacadaCar"/>
    <w:uiPriority w:val="30"/>
    <w:qFormat/>
    <w:rsid w:val="00966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66798"/>
    <w:rPr>
      <w:i/>
      <w:iCs/>
      <w:color w:val="0F4761" w:themeColor="accent1" w:themeShade="BF"/>
    </w:rPr>
  </w:style>
  <w:style w:type="character" w:styleId="Referenciaintensa">
    <w:name w:val="Intense Reference"/>
    <w:basedOn w:val="Fuentedeprrafopredeter"/>
    <w:uiPriority w:val="32"/>
    <w:qFormat/>
    <w:rsid w:val="00966798"/>
    <w:rPr>
      <w:b/>
      <w:bCs/>
      <w:smallCaps/>
      <w:color w:val="0F4761" w:themeColor="accent1" w:themeShade="BF"/>
      <w:spacing w:val="5"/>
    </w:rPr>
  </w:style>
  <w:style w:type="paragraph" w:styleId="Encabezado">
    <w:name w:val="header"/>
    <w:basedOn w:val="Normal"/>
    <w:link w:val="EncabezadoCar"/>
    <w:uiPriority w:val="99"/>
    <w:unhideWhenUsed/>
    <w:rsid w:val="009667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6798"/>
  </w:style>
  <w:style w:type="paragraph" w:styleId="Piedepgina">
    <w:name w:val="footer"/>
    <w:basedOn w:val="Normal"/>
    <w:link w:val="PiedepginaCar"/>
    <w:uiPriority w:val="99"/>
    <w:unhideWhenUsed/>
    <w:rsid w:val="009667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798"/>
  </w:style>
  <w:style w:type="paragraph" w:styleId="Textoindependiente">
    <w:name w:val="Body Text"/>
    <w:basedOn w:val="Normal"/>
    <w:link w:val="TextoindependienteCar"/>
    <w:uiPriority w:val="1"/>
    <w:qFormat/>
    <w:rsid w:val="00966798"/>
    <w:pPr>
      <w:widowControl w:val="0"/>
      <w:autoSpaceDE w:val="0"/>
      <w:autoSpaceDN w:val="0"/>
      <w:spacing w:after="0" w:line="240" w:lineRule="auto"/>
      <w:jc w:val="both"/>
    </w:pPr>
    <w:rPr>
      <w:rFonts w:ascii="Corbel" w:eastAsia="Corbel" w:hAnsi="Corbel" w:cs="Corbel"/>
      <w:kern w:val="0"/>
      <w:lang w:val="en-US"/>
      <w14:ligatures w14:val="none"/>
    </w:rPr>
  </w:style>
  <w:style w:type="character" w:customStyle="1" w:styleId="TextoindependienteCar">
    <w:name w:val="Texto independiente Car"/>
    <w:basedOn w:val="Fuentedeprrafopredeter"/>
    <w:link w:val="Textoindependiente"/>
    <w:uiPriority w:val="1"/>
    <w:rsid w:val="00966798"/>
    <w:rPr>
      <w:rFonts w:ascii="Corbel" w:eastAsia="Corbel" w:hAnsi="Corbel" w:cs="Corbel"/>
      <w:kern w:val="0"/>
      <w:lang w:val="en-US"/>
      <w14:ligatures w14:val="none"/>
    </w:rPr>
  </w:style>
  <w:style w:type="paragraph" w:styleId="Revisin">
    <w:name w:val="Revision"/>
    <w:hidden/>
    <w:uiPriority w:val="99"/>
    <w:semiHidden/>
    <w:rsid w:val="00AC75B7"/>
    <w:pPr>
      <w:spacing w:after="0" w:line="240" w:lineRule="auto"/>
    </w:pPr>
  </w:style>
  <w:style w:type="paragraph" w:styleId="Textonotapie">
    <w:name w:val="footnote text"/>
    <w:basedOn w:val="Normal"/>
    <w:link w:val="TextonotapieCar"/>
    <w:uiPriority w:val="99"/>
    <w:semiHidden/>
    <w:unhideWhenUsed/>
    <w:rsid w:val="004716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1600"/>
    <w:rPr>
      <w:sz w:val="20"/>
      <w:szCs w:val="20"/>
    </w:rPr>
  </w:style>
  <w:style w:type="character" w:styleId="Refdenotaalpie">
    <w:name w:val="footnote reference"/>
    <w:basedOn w:val="Fuentedeprrafopredeter"/>
    <w:uiPriority w:val="99"/>
    <w:semiHidden/>
    <w:unhideWhenUsed/>
    <w:rsid w:val="00471600"/>
    <w:rPr>
      <w:vertAlign w:val="superscript"/>
    </w:rPr>
  </w:style>
  <w:style w:type="paragraph" w:styleId="NormalWeb">
    <w:name w:val="Normal (Web)"/>
    <w:basedOn w:val="Normal"/>
    <w:uiPriority w:val="99"/>
    <w:semiHidden/>
    <w:unhideWhenUsed/>
    <w:rsid w:val="00E4710E"/>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292C4C"/>
    <w:rPr>
      <w:sz w:val="16"/>
      <w:szCs w:val="16"/>
    </w:rPr>
  </w:style>
  <w:style w:type="paragraph" w:styleId="Textocomentario">
    <w:name w:val="annotation text"/>
    <w:basedOn w:val="Normal"/>
    <w:link w:val="TextocomentarioCar"/>
    <w:uiPriority w:val="99"/>
    <w:unhideWhenUsed/>
    <w:rsid w:val="00292C4C"/>
    <w:pPr>
      <w:spacing w:line="240" w:lineRule="auto"/>
    </w:pPr>
    <w:rPr>
      <w:sz w:val="20"/>
      <w:szCs w:val="20"/>
    </w:rPr>
  </w:style>
  <w:style w:type="character" w:customStyle="1" w:styleId="TextocomentarioCar">
    <w:name w:val="Texto comentario Car"/>
    <w:basedOn w:val="Fuentedeprrafopredeter"/>
    <w:link w:val="Textocomentario"/>
    <w:uiPriority w:val="99"/>
    <w:rsid w:val="00292C4C"/>
    <w:rPr>
      <w:sz w:val="20"/>
      <w:szCs w:val="20"/>
    </w:rPr>
  </w:style>
  <w:style w:type="paragraph" w:styleId="Asuntodelcomentario">
    <w:name w:val="annotation subject"/>
    <w:basedOn w:val="Textocomentario"/>
    <w:next w:val="Textocomentario"/>
    <w:link w:val="AsuntodelcomentarioCar"/>
    <w:uiPriority w:val="99"/>
    <w:semiHidden/>
    <w:unhideWhenUsed/>
    <w:rsid w:val="00292C4C"/>
    <w:rPr>
      <w:b/>
      <w:bCs/>
    </w:rPr>
  </w:style>
  <w:style w:type="character" w:customStyle="1" w:styleId="AsuntodelcomentarioCar">
    <w:name w:val="Asunto del comentario Car"/>
    <w:basedOn w:val="TextocomentarioCar"/>
    <w:link w:val="Asuntodelcomentario"/>
    <w:uiPriority w:val="99"/>
    <w:semiHidden/>
    <w:rsid w:val="00292C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3838">
      <w:bodyDiv w:val="1"/>
      <w:marLeft w:val="0"/>
      <w:marRight w:val="0"/>
      <w:marTop w:val="0"/>
      <w:marBottom w:val="0"/>
      <w:divBdr>
        <w:top w:val="none" w:sz="0" w:space="0" w:color="auto"/>
        <w:left w:val="none" w:sz="0" w:space="0" w:color="auto"/>
        <w:bottom w:val="none" w:sz="0" w:space="0" w:color="auto"/>
        <w:right w:val="none" w:sz="0" w:space="0" w:color="auto"/>
      </w:divBdr>
    </w:div>
    <w:div w:id="82118439">
      <w:bodyDiv w:val="1"/>
      <w:marLeft w:val="0"/>
      <w:marRight w:val="0"/>
      <w:marTop w:val="0"/>
      <w:marBottom w:val="0"/>
      <w:divBdr>
        <w:top w:val="none" w:sz="0" w:space="0" w:color="auto"/>
        <w:left w:val="none" w:sz="0" w:space="0" w:color="auto"/>
        <w:bottom w:val="none" w:sz="0" w:space="0" w:color="auto"/>
        <w:right w:val="none" w:sz="0" w:space="0" w:color="auto"/>
      </w:divBdr>
    </w:div>
    <w:div w:id="324818845">
      <w:bodyDiv w:val="1"/>
      <w:marLeft w:val="0"/>
      <w:marRight w:val="0"/>
      <w:marTop w:val="0"/>
      <w:marBottom w:val="0"/>
      <w:divBdr>
        <w:top w:val="none" w:sz="0" w:space="0" w:color="auto"/>
        <w:left w:val="none" w:sz="0" w:space="0" w:color="auto"/>
        <w:bottom w:val="none" w:sz="0" w:space="0" w:color="auto"/>
        <w:right w:val="none" w:sz="0" w:space="0" w:color="auto"/>
      </w:divBdr>
    </w:div>
    <w:div w:id="446657663">
      <w:bodyDiv w:val="1"/>
      <w:marLeft w:val="0"/>
      <w:marRight w:val="0"/>
      <w:marTop w:val="0"/>
      <w:marBottom w:val="0"/>
      <w:divBdr>
        <w:top w:val="none" w:sz="0" w:space="0" w:color="auto"/>
        <w:left w:val="none" w:sz="0" w:space="0" w:color="auto"/>
        <w:bottom w:val="none" w:sz="0" w:space="0" w:color="auto"/>
        <w:right w:val="none" w:sz="0" w:space="0" w:color="auto"/>
      </w:divBdr>
    </w:div>
    <w:div w:id="89096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6920f5ab-9618-4f6e-a652-41e6f8b811ff">2025</Year>
    <UNF3CSPThematicAreas xmlns="6920f5ab-9618-4f6e-a652-41e6f8b811ff"/>
    <UNF3CSPEntity xmlns="cd1c2313-39f8-4f5d-8e14-5f0ea1c36a8a">Chile</UNF3CSPEntity>
    <UNF3CSPInvitationToSubmit xmlns="cd1c2313-39f8-4f5d-8e14-5f0ea1c36a8a">1484</UNF3CSPInvitationToSubmit>
    <UNF3CSPSubmissionDate xmlns="6920f5ab-9618-4f6e-a652-41e6f8b811ff">2025-02-19T13:55:00+00:00</UNF3CSPSubmissionDate>
    <UNF3CSPEntityType xmlns="6920f5ab-9618-4f6e-a652-41e6f8b811ff">Party</UNF3CSPEntityType>
    <Issue xmlns="6920f5ab-9618-4f6e-a652-41e6f8b811ff">Sharm el-Sheikh mitigation ambition and implementation work programme</Issue>
    <UNF3CSPDescription xmlns="cd1c2313-39f8-4f5d-8e14-5f0ea1c36a8a">Chile on behalf of AILAC Group</UNF3CSPDescription>
    <Date_x0020_Of_x0020_Call xmlns="6920f5ab-9618-4f6e-a652-41e6f8b811ff">2025-01-31T23:00:00+00:00</Date_x0020_Of_x0020_Call>
    <UNF3CSPLanguage xmlns="cd1c2313-39f8-4f5d-8e14-5f0ea1c36a8a">English</UNF3CSPLanguage>
    <Mandate xmlns="6920f5ab-9618-4f6e-a652-41e6f8b811ff">Decision 4/CMA. 4, para. 12, Decision 5/CMA. 5, para. 8, FCCC/PA/CMA/2024/L.23, para. 9</Mandate>
    <Session xmlns="6920f5ab-9618-4f6e-a652-41e6f8b811ff">SB 62</Session>
    <SourceItemID xmlns="6920f5ab-9618-4f6e-a652-41e6f8b811ff" xsi:nil="true"/>
    <Theme xmlns="6920f5ab-9618-4f6e-a652-41e6f8b811ff" xsi:nil="true"/>
    <UNF3CSPBody xmlns="6920f5ab-9618-4f6e-a652-41e6f8b811ff" xsi:nil="true"/>
  </documentManagement>
</p:properties>
</file>

<file path=customXml/itemProps1.xml><?xml version="1.0" encoding="utf-8"?>
<ds:datastoreItem xmlns:ds="http://schemas.openxmlformats.org/officeDocument/2006/customXml" ds:itemID="{F02D3EDF-E941-4133-BDA0-1152E5C8FF0E}"/>
</file>

<file path=customXml/itemProps2.xml><?xml version="1.0" encoding="utf-8"?>
<ds:datastoreItem xmlns:ds="http://schemas.openxmlformats.org/officeDocument/2006/customXml" ds:itemID="{FF4B9C6E-03D1-47BB-9C8E-02ACD318C14F}"/>
</file>

<file path=customXml/itemProps3.xml><?xml version="1.0" encoding="utf-8"?>
<ds:datastoreItem xmlns:ds="http://schemas.openxmlformats.org/officeDocument/2006/customXml" ds:itemID="{31766A02-92AE-4954-B7CA-333F56EB4EB9}"/>
</file>

<file path=customXml/itemProps4.xml><?xml version="1.0" encoding="utf-8"?>
<ds:datastoreItem xmlns:ds="http://schemas.openxmlformats.org/officeDocument/2006/customXml" ds:itemID="{B7802A64-0809-496E-9766-8B6893F010D1}"/>
</file>

<file path=docProps/app.xml><?xml version="1.0" encoding="utf-8"?>
<Properties xmlns="http://schemas.openxmlformats.org/officeDocument/2006/extended-properties" xmlns:vt="http://schemas.openxmlformats.org/officeDocument/2006/docPropsVTypes">
  <Template>Normal</Template>
  <TotalTime>99</TotalTime>
  <Pages>7</Pages>
  <Words>3261</Words>
  <Characters>17941</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Henry Melo</dc:creator>
  <cp:keywords/>
  <dc:description/>
  <cp:lastModifiedBy>John Henry Melo</cp:lastModifiedBy>
  <cp:revision>22</cp:revision>
  <dcterms:created xsi:type="dcterms:W3CDTF">2025-02-07T17:27:00Z</dcterms:created>
  <dcterms:modified xsi:type="dcterms:W3CDTF">2025-02-12T13:31:00Z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1329800</vt:r8>
  </property>
  <property fmtid="{D5CDD505-2E9C-101B-9397-08002B2CF9AE}" pid="4" name="xd_ProgID">
    <vt:lpwstr/>
  </property>
  <property fmtid="{D5CDD505-2E9C-101B-9397-08002B2CF9AE}" pid="5" name="_CopySource">
    <vt:lpwstr>https://process.unfccc.int/sites/SubmissionsStaging/Documents/202502191355---12022025 AILAC - MWP Submission on topics for global dialogues 2025.docx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