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A509" w14:textId="5D82EA20" w:rsidR="008E1B1B" w:rsidRDefault="002D2BC8" w:rsidP="008E1B1B">
      <w:pPr>
        <w:pStyle w:val="BodyText"/>
        <w:jc w:val="center"/>
        <w:rPr>
          <w:rFonts w:asciiTheme="minorHAnsi" w:hAnsiTheme="minorHAnsi" w:cstheme="minorHAnsi"/>
          <w:b/>
          <w:bCs/>
          <w:lang w:val="en-GB" w:eastAsia="en-GB"/>
        </w:rPr>
      </w:pPr>
      <w:r w:rsidRPr="002D2BC8">
        <w:rPr>
          <w:rFonts w:asciiTheme="minorHAnsi" w:hAnsiTheme="minorHAnsi" w:cstheme="minorHAnsi"/>
          <w:b/>
          <w:bCs/>
          <w:lang w:val="en-GB" w:eastAsia="en-GB"/>
        </w:rPr>
        <w:t>Submission on matters relating to the work programme for urgently scaling up mitigation</w:t>
      </w:r>
      <w:r w:rsidR="008E1B1B">
        <w:rPr>
          <w:rFonts w:asciiTheme="minorHAnsi" w:hAnsiTheme="minorHAnsi" w:cstheme="minorHAnsi"/>
          <w:b/>
          <w:bCs/>
          <w:lang w:val="en-GB" w:eastAsia="en-GB"/>
        </w:rPr>
        <w:t xml:space="preserve"> </w:t>
      </w:r>
      <w:r w:rsidRPr="002D2BC8">
        <w:rPr>
          <w:rFonts w:asciiTheme="minorHAnsi" w:hAnsiTheme="minorHAnsi" w:cstheme="minorHAnsi"/>
          <w:b/>
          <w:bCs/>
          <w:lang w:val="en-GB" w:eastAsia="en-GB"/>
        </w:rPr>
        <w:t xml:space="preserve">ambition and </w:t>
      </w:r>
      <w:proofErr w:type="gramStart"/>
      <w:r w:rsidRPr="002D2BC8">
        <w:rPr>
          <w:rFonts w:asciiTheme="minorHAnsi" w:hAnsiTheme="minorHAnsi" w:cstheme="minorHAnsi"/>
          <w:b/>
          <w:bCs/>
          <w:lang w:val="en-GB" w:eastAsia="en-GB"/>
        </w:rPr>
        <w:t>implementation</w:t>
      </w:r>
      <w:proofErr w:type="gramEnd"/>
      <w:r w:rsidRPr="002D2BC8">
        <w:rPr>
          <w:rFonts w:asciiTheme="minorHAnsi" w:hAnsiTheme="minorHAnsi" w:cstheme="minorHAnsi"/>
          <w:b/>
          <w:bCs/>
          <w:lang w:val="en-GB" w:eastAsia="en-GB"/>
        </w:rPr>
        <w:t xml:space="preserve"> </w:t>
      </w:r>
    </w:p>
    <w:p w14:paraId="38F2E1FF" w14:textId="77777777" w:rsidR="008E1B1B" w:rsidRPr="008E1B1B" w:rsidRDefault="008E1B1B" w:rsidP="008E1B1B">
      <w:pPr>
        <w:pStyle w:val="BodyText"/>
        <w:jc w:val="center"/>
        <w:rPr>
          <w:rFonts w:asciiTheme="minorHAnsi" w:hAnsiTheme="minorHAnsi" w:cstheme="minorHAnsi"/>
          <w:b/>
          <w:bCs/>
          <w:lang w:val="en-US" w:eastAsia="en-GB" w:bidi="he-IL"/>
        </w:rPr>
      </w:pPr>
    </w:p>
    <w:p w14:paraId="311C891F" w14:textId="74047628" w:rsidR="002D2BC8" w:rsidRPr="008E1B1B" w:rsidRDefault="002D2BC8" w:rsidP="00E61B53">
      <w:pPr>
        <w:rPr>
          <w:sz w:val="24"/>
          <w:szCs w:val="24"/>
        </w:rPr>
      </w:pPr>
      <w:r w:rsidRPr="008E1B1B">
        <w:rPr>
          <w:sz w:val="24"/>
          <w:szCs w:val="24"/>
        </w:rPr>
        <w:t xml:space="preserve">Israel welcomes the opportunity to provide views on topics for the mitigation ambition and implementation work </w:t>
      </w:r>
      <w:proofErr w:type="spellStart"/>
      <w:r w:rsidRPr="008E1B1B">
        <w:rPr>
          <w:sz w:val="24"/>
          <w:szCs w:val="24"/>
        </w:rPr>
        <w:t>programme</w:t>
      </w:r>
      <w:proofErr w:type="spellEnd"/>
      <w:r w:rsidRPr="008E1B1B">
        <w:rPr>
          <w:sz w:val="24"/>
          <w:szCs w:val="24"/>
        </w:rPr>
        <w:t xml:space="preserve"> (MWP) in 2024 and beyond.</w:t>
      </w:r>
    </w:p>
    <w:p w14:paraId="461DEAD4" w14:textId="6A35C74D" w:rsidR="00062EC6" w:rsidRDefault="00E61B53" w:rsidP="00E61B53">
      <w:pPr>
        <w:rPr>
          <w:sz w:val="24"/>
          <w:szCs w:val="24"/>
        </w:rPr>
      </w:pPr>
      <w:r w:rsidRPr="000E773D">
        <w:rPr>
          <w:sz w:val="24"/>
          <w:szCs w:val="24"/>
        </w:rPr>
        <w:t xml:space="preserve">Following the successful outcomes of 2023, </w:t>
      </w:r>
      <w:r w:rsidR="00062EC6" w:rsidRPr="000E773D">
        <w:rPr>
          <w:sz w:val="24"/>
          <w:szCs w:val="24"/>
        </w:rPr>
        <w:t xml:space="preserve">Israel would suggest continuing to focus on the just energy transition during the coming year. The energy sector holds the greatest potential for global greenhouse gas emissions reduction, and often for national mitigation efforts as well. </w:t>
      </w:r>
    </w:p>
    <w:p w14:paraId="0D776115" w14:textId="23306F53" w:rsidR="000E773D" w:rsidRPr="000E773D" w:rsidRDefault="000E773D" w:rsidP="000E773D">
      <w:pPr>
        <w:rPr>
          <w:sz w:val="24"/>
          <w:szCs w:val="24"/>
        </w:rPr>
      </w:pPr>
      <w:proofErr w:type="gramStart"/>
      <w:r w:rsidRPr="000E773D">
        <w:rPr>
          <w:sz w:val="24"/>
          <w:szCs w:val="24"/>
        </w:rPr>
        <w:t>The global</w:t>
      </w:r>
      <w:proofErr w:type="gramEnd"/>
      <w:r w:rsidRPr="000E773D">
        <w:rPr>
          <w:sz w:val="24"/>
          <w:szCs w:val="24"/>
        </w:rPr>
        <w:t xml:space="preserve"> dialogues provide an important platform for the exchange of best practices and knowledge. Concrete solutions can be presented based on expertise and research that could be relevant for all. Parties </w:t>
      </w:r>
      <w:proofErr w:type="gramStart"/>
      <w:r w:rsidRPr="000E773D">
        <w:rPr>
          <w:sz w:val="24"/>
          <w:szCs w:val="24"/>
        </w:rPr>
        <w:t>have the opportunity to</w:t>
      </w:r>
      <w:proofErr w:type="gramEnd"/>
      <w:r w:rsidRPr="000E773D">
        <w:rPr>
          <w:sz w:val="24"/>
          <w:szCs w:val="24"/>
        </w:rPr>
        <w:t xml:space="preserve"> determine what is applicable for their national circumstances, keeping in mind that enhanced and ambitious Nationally Determined Contributions are to be communicated in 2025.  Of course, many topics of the just energy transition were not addressed during 2023.</w:t>
      </w:r>
      <w:r w:rsidR="006F7305">
        <w:rPr>
          <w:sz w:val="24"/>
          <w:szCs w:val="24"/>
        </w:rPr>
        <w:t xml:space="preserve"> Retaining a focus on just energy transition will increase the cumulative impact rather than diffusing efforts </w:t>
      </w:r>
      <w:proofErr w:type="gramStart"/>
      <w:r w:rsidR="006F7305">
        <w:rPr>
          <w:sz w:val="24"/>
          <w:szCs w:val="24"/>
        </w:rPr>
        <w:t>to</w:t>
      </w:r>
      <w:proofErr w:type="gramEnd"/>
      <w:r w:rsidR="006F7305">
        <w:rPr>
          <w:sz w:val="24"/>
          <w:szCs w:val="24"/>
        </w:rPr>
        <w:t xml:space="preserve"> broadly. </w:t>
      </w:r>
      <w:r w:rsidRPr="000E773D">
        <w:rPr>
          <w:sz w:val="24"/>
          <w:szCs w:val="24"/>
        </w:rPr>
        <w:t xml:space="preserve"> The coming years will offer more </w:t>
      </w:r>
      <w:proofErr w:type="gramStart"/>
      <w:r w:rsidRPr="000E773D">
        <w:rPr>
          <w:sz w:val="24"/>
          <w:szCs w:val="24"/>
        </w:rPr>
        <w:t>opportunity</w:t>
      </w:r>
      <w:proofErr w:type="gramEnd"/>
      <w:r w:rsidRPr="000E773D">
        <w:rPr>
          <w:sz w:val="24"/>
          <w:szCs w:val="24"/>
        </w:rPr>
        <w:t xml:space="preserve"> for </w:t>
      </w:r>
      <w:r w:rsidR="001D39FD">
        <w:rPr>
          <w:sz w:val="24"/>
          <w:szCs w:val="24"/>
        </w:rPr>
        <w:t xml:space="preserve">exploring </w:t>
      </w:r>
      <w:r w:rsidRPr="000E773D">
        <w:rPr>
          <w:sz w:val="24"/>
          <w:szCs w:val="24"/>
        </w:rPr>
        <w:t xml:space="preserve">solutions and </w:t>
      </w:r>
      <w:r w:rsidR="001D39FD">
        <w:rPr>
          <w:sz w:val="24"/>
          <w:szCs w:val="24"/>
        </w:rPr>
        <w:t xml:space="preserve">expanding the exchange of </w:t>
      </w:r>
      <w:r w:rsidRPr="000E773D">
        <w:rPr>
          <w:sz w:val="24"/>
          <w:szCs w:val="24"/>
        </w:rPr>
        <w:t>experience and expertise.</w:t>
      </w:r>
    </w:p>
    <w:p w14:paraId="534F40A5" w14:textId="30DA0131" w:rsidR="00062EC6" w:rsidRPr="000E773D" w:rsidRDefault="00062EC6" w:rsidP="00E61B53">
      <w:pPr>
        <w:rPr>
          <w:sz w:val="24"/>
          <w:szCs w:val="24"/>
        </w:rPr>
      </w:pPr>
      <w:r w:rsidRPr="000E773D">
        <w:rPr>
          <w:sz w:val="24"/>
          <w:szCs w:val="24"/>
        </w:rPr>
        <w:t>The urgency</w:t>
      </w:r>
      <w:r w:rsidR="006C54D0" w:rsidRPr="000E773D">
        <w:rPr>
          <w:sz w:val="24"/>
          <w:szCs w:val="24"/>
        </w:rPr>
        <w:t xml:space="preserve"> for scaling up mitigation ambition and implementation in this critical decade</w:t>
      </w:r>
      <w:r w:rsidRPr="000E773D">
        <w:rPr>
          <w:sz w:val="24"/>
          <w:szCs w:val="24"/>
        </w:rPr>
        <w:t xml:space="preserve">, for which the MWP was created, </w:t>
      </w:r>
      <w:r w:rsidR="006C54D0" w:rsidRPr="000E773D">
        <w:rPr>
          <w:sz w:val="24"/>
          <w:szCs w:val="24"/>
        </w:rPr>
        <w:t xml:space="preserve">was reinforced in the first Global Stocktake </w:t>
      </w:r>
      <w:r w:rsidR="00EF7538" w:rsidRPr="000E773D">
        <w:rPr>
          <w:sz w:val="24"/>
          <w:szCs w:val="24"/>
        </w:rPr>
        <w:t xml:space="preserve">(GST) </w:t>
      </w:r>
      <w:r w:rsidR="006C54D0" w:rsidRPr="000E773D">
        <w:rPr>
          <w:sz w:val="24"/>
          <w:szCs w:val="24"/>
        </w:rPr>
        <w:t xml:space="preserve">decision. </w:t>
      </w:r>
      <w:proofErr w:type="gramStart"/>
      <w:r w:rsidR="006C54D0" w:rsidRPr="000E773D">
        <w:rPr>
          <w:sz w:val="24"/>
          <w:szCs w:val="24"/>
        </w:rPr>
        <w:t>Parties</w:t>
      </w:r>
      <w:proofErr w:type="gramEnd"/>
      <w:r w:rsidR="006C54D0" w:rsidRPr="000E773D">
        <w:rPr>
          <w:sz w:val="24"/>
          <w:szCs w:val="24"/>
        </w:rPr>
        <w:t xml:space="preserve"> recognize</w:t>
      </w:r>
      <w:r w:rsidR="00BC1BB9" w:rsidRPr="000E773D">
        <w:rPr>
          <w:sz w:val="24"/>
          <w:szCs w:val="24"/>
        </w:rPr>
        <w:t>d</w:t>
      </w:r>
      <w:r w:rsidR="006C54D0" w:rsidRPr="000E773D">
        <w:rPr>
          <w:sz w:val="24"/>
          <w:szCs w:val="24"/>
        </w:rPr>
        <w:t xml:space="preserve"> the </w:t>
      </w:r>
      <w:r w:rsidR="009C44F1" w:rsidRPr="000E773D">
        <w:rPr>
          <w:sz w:val="24"/>
          <w:szCs w:val="24"/>
        </w:rPr>
        <w:t xml:space="preserve">urgent </w:t>
      </w:r>
      <w:r w:rsidR="006C54D0" w:rsidRPr="000E773D">
        <w:rPr>
          <w:sz w:val="24"/>
          <w:szCs w:val="24"/>
        </w:rPr>
        <w:t>need to close the existing ambition and implementation gap</w:t>
      </w:r>
      <w:r w:rsidR="001D39FD">
        <w:rPr>
          <w:sz w:val="24"/>
          <w:szCs w:val="24"/>
        </w:rPr>
        <w:t>s</w:t>
      </w:r>
      <w:r w:rsidR="006C54D0" w:rsidRPr="000E773D">
        <w:rPr>
          <w:sz w:val="24"/>
          <w:szCs w:val="24"/>
        </w:rPr>
        <w:t xml:space="preserve"> </w:t>
      </w:r>
      <w:proofErr w:type="gramStart"/>
      <w:r w:rsidR="006C54D0" w:rsidRPr="000E773D">
        <w:rPr>
          <w:sz w:val="24"/>
          <w:szCs w:val="24"/>
        </w:rPr>
        <w:t>in order to</w:t>
      </w:r>
      <w:proofErr w:type="gramEnd"/>
      <w:r w:rsidR="006C54D0" w:rsidRPr="000E773D">
        <w:rPr>
          <w:sz w:val="24"/>
          <w:szCs w:val="24"/>
        </w:rPr>
        <w:t xml:space="preserve"> achieve the temperature goal of the Paris Agreement.   </w:t>
      </w:r>
      <w:r w:rsidR="00EF7538" w:rsidRPr="000E773D">
        <w:rPr>
          <w:sz w:val="24"/>
          <w:szCs w:val="24"/>
        </w:rPr>
        <w:t>The window of opportunity is narrowing and keeping 1.5</w:t>
      </w:r>
      <w:r w:rsidR="00EF7538" w:rsidRPr="000E773D">
        <w:rPr>
          <w:sz w:val="24"/>
          <w:szCs w:val="24"/>
          <w:vertAlign w:val="superscript"/>
        </w:rPr>
        <w:t>0</w:t>
      </w:r>
      <w:r w:rsidR="00EF7538" w:rsidRPr="000E773D">
        <w:rPr>
          <w:sz w:val="24"/>
          <w:szCs w:val="24"/>
        </w:rPr>
        <w:t xml:space="preserve"> C in reach </w:t>
      </w:r>
      <w:r w:rsidR="001D39FD">
        <w:rPr>
          <w:sz w:val="24"/>
          <w:szCs w:val="24"/>
        </w:rPr>
        <w:t>requires</w:t>
      </w:r>
      <w:r w:rsidR="00BC1BB9" w:rsidRPr="000E773D">
        <w:rPr>
          <w:sz w:val="24"/>
          <w:szCs w:val="24"/>
        </w:rPr>
        <w:t xml:space="preserve"> international cooperation now and in</w:t>
      </w:r>
      <w:r w:rsidR="001D39FD">
        <w:rPr>
          <w:sz w:val="24"/>
          <w:szCs w:val="24"/>
        </w:rPr>
        <w:t>to</w:t>
      </w:r>
      <w:r w:rsidR="00BC1BB9" w:rsidRPr="000E773D">
        <w:rPr>
          <w:sz w:val="24"/>
          <w:szCs w:val="24"/>
        </w:rPr>
        <w:t xml:space="preserve"> t</w:t>
      </w:r>
      <w:r w:rsidR="00EF7538" w:rsidRPr="000E773D">
        <w:rPr>
          <w:sz w:val="24"/>
          <w:szCs w:val="24"/>
        </w:rPr>
        <w:t xml:space="preserve">he future. </w:t>
      </w:r>
      <w:r w:rsidR="006C54D0" w:rsidRPr="000E773D">
        <w:rPr>
          <w:sz w:val="24"/>
          <w:szCs w:val="24"/>
        </w:rPr>
        <w:t xml:space="preserve">Focusing on the </w:t>
      </w:r>
      <w:r w:rsidR="00EF7538" w:rsidRPr="000E773D">
        <w:rPr>
          <w:sz w:val="24"/>
          <w:szCs w:val="24"/>
        </w:rPr>
        <w:t xml:space="preserve">mitigation section in the GST outcome, with particular attention </w:t>
      </w:r>
      <w:r w:rsidR="00EE6ACA" w:rsidRPr="000E773D">
        <w:rPr>
          <w:sz w:val="24"/>
          <w:szCs w:val="24"/>
        </w:rPr>
        <w:t>to</w:t>
      </w:r>
      <w:r w:rsidR="00EF7538" w:rsidRPr="000E773D">
        <w:rPr>
          <w:sz w:val="24"/>
          <w:szCs w:val="24"/>
        </w:rPr>
        <w:t xml:space="preserve"> paragraph 28, </w:t>
      </w:r>
      <w:r w:rsidR="009C44F1" w:rsidRPr="000E773D">
        <w:rPr>
          <w:sz w:val="24"/>
          <w:szCs w:val="24"/>
        </w:rPr>
        <w:t xml:space="preserve">offers a range of potential sustainable energy </w:t>
      </w:r>
      <w:r w:rsidR="00122880" w:rsidRPr="000E773D">
        <w:rPr>
          <w:sz w:val="24"/>
          <w:szCs w:val="24"/>
        </w:rPr>
        <w:t xml:space="preserve">directions for </w:t>
      </w:r>
      <w:r w:rsidR="00CA356C">
        <w:rPr>
          <w:sz w:val="24"/>
          <w:szCs w:val="24"/>
        </w:rPr>
        <w:t xml:space="preserve">finding </w:t>
      </w:r>
      <w:r w:rsidR="009C44F1" w:rsidRPr="000E773D">
        <w:rPr>
          <w:sz w:val="24"/>
          <w:szCs w:val="24"/>
        </w:rPr>
        <w:t xml:space="preserve">solutions </w:t>
      </w:r>
      <w:r w:rsidR="00122880" w:rsidRPr="000E773D">
        <w:rPr>
          <w:sz w:val="24"/>
          <w:szCs w:val="24"/>
        </w:rPr>
        <w:t>leading to</w:t>
      </w:r>
      <w:r w:rsidR="009C44F1" w:rsidRPr="000E773D">
        <w:rPr>
          <w:sz w:val="24"/>
          <w:szCs w:val="24"/>
        </w:rPr>
        <w:t xml:space="preserve"> achieving the MWP mandate. </w:t>
      </w:r>
      <w:r w:rsidR="00EF7538" w:rsidRPr="000E773D">
        <w:rPr>
          <w:sz w:val="24"/>
          <w:szCs w:val="24"/>
        </w:rPr>
        <w:t xml:space="preserve"> </w:t>
      </w:r>
    </w:p>
    <w:p w14:paraId="1FE047A4" w14:textId="2348066F" w:rsidR="00C81F58" w:rsidRPr="000E773D" w:rsidRDefault="00C81F58" w:rsidP="00761A87">
      <w:pPr>
        <w:rPr>
          <w:sz w:val="24"/>
          <w:szCs w:val="24"/>
        </w:rPr>
      </w:pPr>
      <w:r w:rsidRPr="000E773D">
        <w:rPr>
          <w:sz w:val="24"/>
          <w:szCs w:val="24"/>
        </w:rPr>
        <w:t xml:space="preserve">Israel would like to recommend holding </w:t>
      </w:r>
      <w:r w:rsidR="00311739">
        <w:rPr>
          <w:sz w:val="24"/>
          <w:szCs w:val="24"/>
        </w:rPr>
        <w:t xml:space="preserve">MWP </w:t>
      </w:r>
      <w:r w:rsidRPr="000E773D">
        <w:rPr>
          <w:sz w:val="24"/>
          <w:szCs w:val="24"/>
        </w:rPr>
        <w:t xml:space="preserve">virtual </w:t>
      </w:r>
      <w:r w:rsidR="006F7305">
        <w:rPr>
          <w:sz w:val="24"/>
          <w:szCs w:val="24"/>
        </w:rPr>
        <w:t xml:space="preserve">or hybrid </w:t>
      </w:r>
      <w:r w:rsidRPr="000E773D">
        <w:rPr>
          <w:sz w:val="24"/>
          <w:szCs w:val="24"/>
        </w:rPr>
        <w:t>meetings and worksh</w:t>
      </w:r>
      <w:r w:rsidR="000E773D" w:rsidRPr="000E773D">
        <w:rPr>
          <w:sz w:val="24"/>
          <w:szCs w:val="24"/>
        </w:rPr>
        <w:t>o</w:t>
      </w:r>
      <w:r w:rsidRPr="000E773D">
        <w:rPr>
          <w:sz w:val="24"/>
          <w:szCs w:val="24"/>
        </w:rPr>
        <w:t xml:space="preserve">ps </w:t>
      </w:r>
      <w:r w:rsidR="000E773D">
        <w:rPr>
          <w:sz w:val="24"/>
          <w:szCs w:val="24"/>
        </w:rPr>
        <w:t xml:space="preserve">during the year </w:t>
      </w:r>
      <w:proofErr w:type="gramStart"/>
      <w:r w:rsidR="000E773D">
        <w:rPr>
          <w:sz w:val="24"/>
          <w:szCs w:val="24"/>
        </w:rPr>
        <w:t>in order to</w:t>
      </w:r>
      <w:proofErr w:type="gramEnd"/>
      <w:r w:rsidR="000E773D">
        <w:rPr>
          <w:sz w:val="24"/>
          <w:szCs w:val="24"/>
        </w:rPr>
        <w:t xml:space="preserve"> ensure wider stakeholder participation. Regarding </w:t>
      </w:r>
      <w:proofErr w:type="gramStart"/>
      <w:r w:rsidR="000E773D">
        <w:rPr>
          <w:sz w:val="24"/>
          <w:szCs w:val="24"/>
        </w:rPr>
        <w:t>the global</w:t>
      </w:r>
      <w:proofErr w:type="gramEnd"/>
      <w:r w:rsidR="000E773D">
        <w:rPr>
          <w:sz w:val="24"/>
          <w:szCs w:val="24"/>
        </w:rPr>
        <w:t xml:space="preserve"> dialogues, although it is extremely beneficial to participate in person this is not always possible. Therefore, Israel would like to request more flexibility for expanding ways for Parties to be more actively involved in discussions. </w:t>
      </w:r>
    </w:p>
    <w:p w14:paraId="0F27249E" w14:textId="7960E2B1" w:rsidR="003D0CB5" w:rsidRDefault="00CA356C" w:rsidP="00F07019">
      <w:pPr>
        <w:rPr>
          <w:sz w:val="24"/>
          <w:szCs w:val="24"/>
        </w:rPr>
      </w:pPr>
      <w:r>
        <w:rPr>
          <w:sz w:val="24"/>
          <w:szCs w:val="24"/>
        </w:rPr>
        <w:t>Many</w:t>
      </w:r>
      <w:r w:rsidRPr="00CA356C">
        <w:rPr>
          <w:sz w:val="24"/>
          <w:szCs w:val="24"/>
        </w:rPr>
        <w:t xml:space="preserve"> topics </w:t>
      </w:r>
      <w:r>
        <w:rPr>
          <w:sz w:val="24"/>
          <w:szCs w:val="24"/>
        </w:rPr>
        <w:t xml:space="preserve">could be </w:t>
      </w:r>
      <w:r w:rsidRPr="00CA356C">
        <w:rPr>
          <w:sz w:val="24"/>
          <w:szCs w:val="24"/>
        </w:rPr>
        <w:t xml:space="preserve">linked to the GST outcome which could be </w:t>
      </w:r>
      <w:r>
        <w:rPr>
          <w:sz w:val="24"/>
          <w:szCs w:val="24"/>
        </w:rPr>
        <w:t>appropriate for discussion in the MWP during 2024</w:t>
      </w:r>
      <w:r w:rsidR="003D0CB5">
        <w:rPr>
          <w:sz w:val="24"/>
          <w:szCs w:val="24"/>
        </w:rPr>
        <w:t xml:space="preserve"> and beyond</w:t>
      </w:r>
      <w:r>
        <w:rPr>
          <w:sz w:val="24"/>
          <w:szCs w:val="24"/>
        </w:rPr>
        <w:t xml:space="preserve">. </w:t>
      </w:r>
      <w:r w:rsidR="003D0CB5">
        <w:rPr>
          <w:sz w:val="24"/>
          <w:szCs w:val="24"/>
        </w:rPr>
        <w:t xml:space="preserve">Keeping in mind the importance of examining and enhancing NDCs in the coming year, Israel would like to suggest two topics very relevant for integration into the next round of NDCs: </w:t>
      </w:r>
    </w:p>
    <w:p w14:paraId="7F2A4354" w14:textId="6B70553D" w:rsidR="003A7FC4" w:rsidRPr="000E773D" w:rsidRDefault="003A7FC4" w:rsidP="005515A1">
      <w:pPr>
        <w:rPr>
          <w:sz w:val="24"/>
          <w:szCs w:val="24"/>
        </w:rPr>
      </w:pPr>
      <w:r w:rsidRPr="000E773D">
        <w:rPr>
          <w:sz w:val="24"/>
          <w:szCs w:val="24"/>
        </w:rPr>
        <w:t xml:space="preserve">* </w:t>
      </w:r>
      <w:r w:rsidRPr="000E773D">
        <w:rPr>
          <w:b/>
          <w:bCs/>
          <w:sz w:val="24"/>
          <w:szCs w:val="24"/>
        </w:rPr>
        <w:t>Distributed and independent energy systems</w:t>
      </w:r>
      <w:r w:rsidRPr="000E773D">
        <w:rPr>
          <w:sz w:val="24"/>
          <w:szCs w:val="24"/>
        </w:rPr>
        <w:t xml:space="preserve">: Moving away from fossil fuels in energy systems is essential as the world aims to achieve the overarching goal of </w:t>
      </w:r>
      <w:r w:rsidR="002324DD">
        <w:rPr>
          <w:sz w:val="24"/>
          <w:szCs w:val="24"/>
        </w:rPr>
        <w:t xml:space="preserve">net </w:t>
      </w:r>
      <w:r w:rsidRPr="000E773D">
        <w:rPr>
          <w:sz w:val="24"/>
          <w:szCs w:val="24"/>
        </w:rPr>
        <w:t>zero emissions by mid-century</w:t>
      </w:r>
      <w:r w:rsidR="00551E19" w:rsidRPr="000E773D">
        <w:rPr>
          <w:sz w:val="24"/>
          <w:szCs w:val="24"/>
        </w:rPr>
        <w:t>.</w:t>
      </w:r>
      <w:r w:rsidRPr="000E773D">
        <w:rPr>
          <w:sz w:val="24"/>
          <w:szCs w:val="24"/>
        </w:rPr>
        <w:t xml:space="preserve"> </w:t>
      </w:r>
      <w:r w:rsidR="00551E19" w:rsidRPr="000E773D">
        <w:rPr>
          <w:sz w:val="24"/>
          <w:szCs w:val="24"/>
        </w:rPr>
        <w:t xml:space="preserve">Reliance on centralized power grids can be </w:t>
      </w:r>
      <w:r w:rsidR="00FC699F">
        <w:rPr>
          <w:sz w:val="24"/>
          <w:szCs w:val="24"/>
        </w:rPr>
        <w:t xml:space="preserve">substantially </w:t>
      </w:r>
      <w:r w:rsidR="00551E19" w:rsidRPr="000E773D">
        <w:rPr>
          <w:sz w:val="24"/>
          <w:szCs w:val="24"/>
        </w:rPr>
        <w:t xml:space="preserve">reduced by </w:t>
      </w:r>
      <w:r w:rsidR="00F31DE5" w:rsidRPr="000E773D">
        <w:rPr>
          <w:sz w:val="24"/>
          <w:szCs w:val="24"/>
        </w:rPr>
        <w:t>promoting solar energy, community wind turbines</w:t>
      </w:r>
      <w:proofErr w:type="gramStart"/>
      <w:r w:rsidR="00F31DE5" w:rsidRPr="000E773D">
        <w:rPr>
          <w:sz w:val="24"/>
          <w:szCs w:val="24"/>
        </w:rPr>
        <w:t>, bioenergy</w:t>
      </w:r>
      <w:proofErr w:type="gramEnd"/>
      <w:r w:rsidR="00F31DE5" w:rsidRPr="000E773D">
        <w:rPr>
          <w:sz w:val="24"/>
          <w:szCs w:val="24"/>
        </w:rPr>
        <w:t xml:space="preserve">. Solar </w:t>
      </w:r>
      <w:r w:rsidRPr="000E773D">
        <w:rPr>
          <w:sz w:val="24"/>
          <w:szCs w:val="24"/>
        </w:rPr>
        <w:t xml:space="preserve">panels, micro hydro-turbines, and microgrids with local storage can provide reliable electricity, reduce greenhouse gas emissions, and </w:t>
      </w:r>
      <w:r w:rsidR="00F31DE5" w:rsidRPr="000E773D">
        <w:rPr>
          <w:sz w:val="24"/>
          <w:szCs w:val="24"/>
        </w:rPr>
        <w:t>increase employment opportunities.</w:t>
      </w:r>
      <w:r w:rsidR="00C7276F" w:rsidRPr="000E773D">
        <w:rPr>
          <w:sz w:val="24"/>
          <w:szCs w:val="24"/>
        </w:rPr>
        <w:t xml:space="preserve"> Decentralization </w:t>
      </w:r>
      <w:r w:rsidR="00C7276F" w:rsidRPr="000E773D">
        <w:rPr>
          <w:sz w:val="24"/>
          <w:szCs w:val="24"/>
        </w:rPr>
        <w:lastRenderedPageBreak/>
        <w:t xml:space="preserve">enhances energy </w:t>
      </w:r>
      <w:proofErr w:type="gramStart"/>
      <w:r w:rsidR="00C7276F" w:rsidRPr="000E773D">
        <w:rPr>
          <w:sz w:val="24"/>
          <w:szCs w:val="24"/>
        </w:rPr>
        <w:t>security,</w:t>
      </w:r>
      <w:proofErr w:type="gramEnd"/>
      <w:r w:rsidR="00C7276F" w:rsidRPr="000E773D">
        <w:rPr>
          <w:sz w:val="24"/>
          <w:szCs w:val="24"/>
        </w:rPr>
        <w:t xml:space="preserve"> </w:t>
      </w:r>
      <w:r w:rsidR="00283D0A" w:rsidRPr="000E773D">
        <w:rPr>
          <w:sz w:val="24"/>
          <w:szCs w:val="24"/>
        </w:rPr>
        <w:t xml:space="preserve">climate </w:t>
      </w:r>
      <w:r w:rsidR="00C7276F" w:rsidRPr="000E773D">
        <w:rPr>
          <w:sz w:val="24"/>
          <w:szCs w:val="24"/>
        </w:rPr>
        <w:t xml:space="preserve">resilience </w:t>
      </w:r>
      <w:r w:rsidR="005515A1" w:rsidRPr="000E773D">
        <w:rPr>
          <w:sz w:val="24"/>
          <w:szCs w:val="24"/>
        </w:rPr>
        <w:t xml:space="preserve">through energy diversification </w:t>
      </w:r>
      <w:r w:rsidR="00C7276F" w:rsidRPr="000E773D">
        <w:rPr>
          <w:sz w:val="24"/>
          <w:szCs w:val="24"/>
        </w:rPr>
        <w:t xml:space="preserve">and economic development. </w:t>
      </w:r>
      <w:r w:rsidR="00975CC5">
        <w:rPr>
          <w:sz w:val="24"/>
          <w:szCs w:val="24"/>
        </w:rPr>
        <w:t>While this is true for urban areas, i</w:t>
      </w:r>
      <w:r w:rsidR="00975CC5" w:rsidRPr="000E773D">
        <w:rPr>
          <w:sz w:val="24"/>
          <w:szCs w:val="24"/>
        </w:rPr>
        <w:t xml:space="preserve">n </w:t>
      </w:r>
      <w:r w:rsidR="00C7276F" w:rsidRPr="000E773D">
        <w:rPr>
          <w:sz w:val="24"/>
          <w:szCs w:val="24"/>
        </w:rPr>
        <w:t xml:space="preserve">rural areas, this can be especially valuable and beneficial. Communities that generate their own power </w:t>
      </w:r>
      <w:proofErr w:type="gramStart"/>
      <w:r w:rsidR="00C7276F" w:rsidRPr="000E773D">
        <w:rPr>
          <w:sz w:val="24"/>
          <w:szCs w:val="24"/>
        </w:rPr>
        <w:t>are able to</w:t>
      </w:r>
      <w:proofErr w:type="gramEnd"/>
      <w:r w:rsidR="00C7276F" w:rsidRPr="000E773D">
        <w:rPr>
          <w:sz w:val="24"/>
          <w:szCs w:val="24"/>
        </w:rPr>
        <w:t xml:space="preserve"> reduce transmission losses as well as </w:t>
      </w:r>
      <w:r w:rsidR="000176E5">
        <w:rPr>
          <w:sz w:val="24"/>
          <w:szCs w:val="24"/>
        </w:rPr>
        <w:t xml:space="preserve">their </w:t>
      </w:r>
      <w:r w:rsidR="00C7276F" w:rsidRPr="000E773D">
        <w:rPr>
          <w:sz w:val="24"/>
          <w:szCs w:val="24"/>
        </w:rPr>
        <w:t xml:space="preserve">vulnerability to </w:t>
      </w:r>
      <w:r w:rsidR="00CC60D9" w:rsidRPr="000E773D">
        <w:rPr>
          <w:sz w:val="24"/>
          <w:szCs w:val="24"/>
        </w:rPr>
        <w:t>supply</w:t>
      </w:r>
      <w:r w:rsidR="00C7276F" w:rsidRPr="000E773D">
        <w:rPr>
          <w:sz w:val="24"/>
          <w:szCs w:val="24"/>
        </w:rPr>
        <w:t xml:space="preserve"> disruptions.  </w:t>
      </w:r>
      <w:r w:rsidR="00F31DE5" w:rsidRPr="000E773D">
        <w:rPr>
          <w:sz w:val="24"/>
          <w:szCs w:val="24"/>
        </w:rPr>
        <w:t xml:space="preserve"> </w:t>
      </w:r>
    </w:p>
    <w:p w14:paraId="7D17DCF0" w14:textId="4F82F939" w:rsidR="00C7276F" w:rsidRPr="000E773D" w:rsidRDefault="00C7276F" w:rsidP="003E1CAB">
      <w:pPr>
        <w:rPr>
          <w:sz w:val="24"/>
          <w:szCs w:val="24"/>
        </w:rPr>
      </w:pPr>
      <w:r w:rsidRPr="000E773D">
        <w:rPr>
          <w:sz w:val="24"/>
          <w:szCs w:val="24"/>
        </w:rPr>
        <w:t>Israel believes that innovative solutions, such as smart grids and storage, tailored to rural areas</w:t>
      </w:r>
      <w:proofErr w:type="gramStart"/>
      <w:r w:rsidR="006F7305">
        <w:rPr>
          <w:sz w:val="24"/>
          <w:szCs w:val="24"/>
        </w:rPr>
        <w:t xml:space="preserve">, in particular, </w:t>
      </w:r>
      <w:r w:rsidRPr="000E773D">
        <w:rPr>
          <w:sz w:val="24"/>
          <w:szCs w:val="24"/>
        </w:rPr>
        <w:t>can</w:t>
      </w:r>
      <w:proofErr w:type="gramEnd"/>
      <w:r w:rsidRPr="000E773D">
        <w:rPr>
          <w:sz w:val="24"/>
          <w:szCs w:val="24"/>
        </w:rPr>
        <w:t xml:space="preserve"> transform energy landscapes by reducing dependence on the grid, promoting sustainability and GHG emissions reduction. Distributed and independent energy systems support decarbonization in various aspects, by enabling fuel switching</w:t>
      </w:r>
      <w:r w:rsidR="003E1CAB" w:rsidRPr="000E773D">
        <w:rPr>
          <w:sz w:val="24"/>
          <w:szCs w:val="24"/>
        </w:rPr>
        <w:t xml:space="preserve"> in industry, transport and building sectors. </w:t>
      </w:r>
    </w:p>
    <w:p w14:paraId="103393B4" w14:textId="2A7415AF" w:rsidR="004D29BC" w:rsidRPr="000E773D" w:rsidRDefault="00F07019" w:rsidP="004D29BC">
      <w:pPr>
        <w:rPr>
          <w:sz w:val="24"/>
          <w:szCs w:val="24"/>
        </w:rPr>
      </w:pPr>
      <w:r w:rsidRPr="000E773D">
        <w:rPr>
          <w:sz w:val="24"/>
          <w:szCs w:val="24"/>
        </w:rPr>
        <w:t>*</w:t>
      </w:r>
      <w:r w:rsidRPr="000E773D">
        <w:rPr>
          <w:b/>
          <w:bCs/>
          <w:sz w:val="24"/>
          <w:szCs w:val="24"/>
        </w:rPr>
        <w:t>Reduction of non-carbon-dioxide emissions</w:t>
      </w:r>
      <w:r w:rsidR="004D29BC" w:rsidRPr="000E773D">
        <w:rPr>
          <w:b/>
          <w:bCs/>
          <w:sz w:val="24"/>
          <w:szCs w:val="24"/>
        </w:rPr>
        <w:t xml:space="preserve">: </w:t>
      </w:r>
      <w:r w:rsidR="004D29BC" w:rsidRPr="004D29BC">
        <w:rPr>
          <w:sz w:val="24"/>
          <w:szCs w:val="24"/>
        </w:rPr>
        <w:t xml:space="preserve">The Intergovernmental Panel on Climate Change (IPCCC) AR6 report </w:t>
      </w:r>
      <w:r w:rsidR="004D29BC" w:rsidRPr="000E773D">
        <w:rPr>
          <w:sz w:val="24"/>
          <w:szCs w:val="24"/>
        </w:rPr>
        <w:t>clearly</w:t>
      </w:r>
      <w:r w:rsidR="004D29BC" w:rsidRPr="004D29BC">
        <w:rPr>
          <w:sz w:val="24"/>
          <w:szCs w:val="24"/>
        </w:rPr>
        <w:t xml:space="preserve"> highlights the </w:t>
      </w:r>
      <w:r w:rsidR="0048244F">
        <w:rPr>
          <w:sz w:val="24"/>
          <w:szCs w:val="24"/>
        </w:rPr>
        <w:t>significant</w:t>
      </w:r>
      <w:r w:rsidR="004D29BC" w:rsidRPr="004D29BC">
        <w:rPr>
          <w:sz w:val="24"/>
          <w:szCs w:val="24"/>
        </w:rPr>
        <w:t xml:space="preserve"> role of short-lived climate pollutants (SLCPs) in shaping our climate trajectory. These </w:t>
      </w:r>
      <w:r w:rsidR="004D29BC" w:rsidRPr="000E773D">
        <w:rPr>
          <w:sz w:val="24"/>
          <w:szCs w:val="24"/>
        </w:rPr>
        <w:t>potent gases and pollutants</w:t>
      </w:r>
      <w:r w:rsidR="004D29BC" w:rsidRPr="004D29BC">
        <w:rPr>
          <w:sz w:val="24"/>
          <w:szCs w:val="24"/>
        </w:rPr>
        <w:t xml:space="preserve">, with relatively short atmospheric lifetimes, </w:t>
      </w:r>
      <w:r w:rsidR="004D29BC" w:rsidRPr="000E773D">
        <w:rPr>
          <w:sz w:val="24"/>
          <w:szCs w:val="24"/>
        </w:rPr>
        <w:t>contribute greatly to global warming</w:t>
      </w:r>
      <w:r w:rsidR="004D29BC" w:rsidRPr="004D29BC">
        <w:rPr>
          <w:sz w:val="24"/>
          <w:szCs w:val="24"/>
        </w:rPr>
        <w:t xml:space="preserve">. </w:t>
      </w:r>
      <w:r w:rsidR="0074197A" w:rsidRPr="000E773D">
        <w:rPr>
          <w:sz w:val="24"/>
          <w:szCs w:val="24"/>
        </w:rPr>
        <w:t xml:space="preserve">Concrete action taken today could significantly put the world on a faster track for closing gaps and reducing emissions, while protecting the Artic ice and improving air quality. </w:t>
      </w:r>
    </w:p>
    <w:p w14:paraId="034AFC0D" w14:textId="50B5C081" w:rsidR="00311739" w:rsidRDefault="0074197A" w:rsidP="00311739">
      <w:pPr>
        <w:rPr>
          <w:sz w:val="24"/>
          <w:szCs w:val="24"/>
        </w:rPr>
      </w:pPr>
      <w:r w:rsidRPr="000E773D">
        <w:rPr>
          <w:sz w:val="24"/>
          <w:szCs w:val="24"/>
        </w:rPr>
        <w:t>Israel suggests examining the reduction potential of methane and HFCs</w:t>
      </w:r>
      <w:proofErr w:type="gramStart"/>
      <w:r w:rsidRPr="000E773D">
        <w:rPr>
          <w:sz w:val="24"/>
          <w:szCs w:val="24"/>
        </w:rPr>
        <w:t xml:space="preserve">, </w:t>
      </w:r>
      <w:r w:rsidR="00FC699F">
        <w:rPr>
          <w:sz w:val="24"/>
          <w:szCs w:val="24"/>
        </w:rPr>
        <w:t xml:space="preserve">in particular, </w:t>
      </w:r>
      <w:r w:rsidRPr="000E773D">
        <w:rPr>
          <w:sz w:val="24"/>
          <w:szCs w:val="24"/>
        </w:rPr>
        <w:t>which</w:t>
      </w:r>
      <w:proofErr w:type="gramEnd"/>
      <w:r w:rsidRPr="000E773D">
        <w:rPr>
          <w:sz w:val="24"/>
          <w:szCs w:val="24"/>
        </w:rPr>
        <w:t xml:space="preserve"> would allow Parties, and non-Party st</w:t>
      </w:r>
      <w:r w:rsidR="00CC7DF5" w:rsidRPr="000E773D">
        <w:rPr>
          <w:sz w:val="24"/>
          <w:szCs w:val="24"/>
        </w:rPr>
        <w:t xml:space="preserve">akeholders, to engage in </w:t>
      </w:r>
      <w:r w:rsidR="00311739">
        <w:rPr>
          <w:sz w:val="24"/>
          <w:szCs w:val="24"/>
        </w:rPr>
        <w:t>thorough</w:t>
      </w:r>
      <w:r w:rsidR="00CC7DF5" w:rsidRPr="000E773D">
        <w:rPr>
          <w:sz w:val="24"/>
          <w:szCs w:val="24"/>
        </w:rPr>
        <w:t xml:space="preserve"> discussions on </w:t>
      </w:r>
      <w:r w:rsidR="00EB2882">
        <w:rPr>
          <w:sz w:val="24"/>
          <w:szCs w:val="24"/>
        </w:rPr>
        <w:t xml:space="preserve">concrete and widely beneficial </w:t>
      </w:r>
      <w:r w:rsidR="00CC7DF5" w:rsidRPr="000E773D">
        <w:rPr>
          <w:sz w:val="24"/>
          <w:szCs w:val="24"/>
        </w:rPr>
        <w:t>solutions</w:t>
      </w:r>
      <w:r w:rsidR="00EB2882">
        <w:rPr>
          <w:sz w:val="24"/>
          <w:szCs w:val="24"/>
        </w:rPr>
        <w:t xml:space="preserve">. </w:t>
      </w:r>
      <w:r w:rsidR="00CC7DF5" w:rsidRPr="000E773D">
        <w:rPr>
          <w:sz w:val="24"/>
          <w:szCs w:val="24"/>
        </w:rPr>
        <w:t xml:space="preserve"> </w:t>
      </w:r>
      <w:r w:rsidR="005078BC" w:rsidRPr="000E773D">
        <w:rPr>
          <w:sz w:val="24"/>
          <w:szCs w:val="24"/>
        </w:rPr>
        <w:t xml:space="preserve">Countries can increase mitigation ambition and enhance NDCs by addressing the urgency </w:t>
      </w:r>
      <w:r w:rsidR="00311739">
        <w:rPr>
          <w:sz w:val="24"/>
          <w:szCs w:val="24"/>
        </w:rPr>
        <w:t xml:space="preserve">necessary </w:t>
      </w:r>
      <w:r w:rsidR="005078BC" w:rsidRPr="000E773D">
        <w:rPr>
          <w:sz w:val="24"/>
          <w:szCs w:val="24"/>
        </w:rPr>
        <w:t xml:space="preserve">for reducing these powerful greenhouse gases. </w:t>
      </w:r>
    </w:p>
    <w:p w14:paraId="13996306" w14:textId="6E9FE77B" w:rsidR="00311739" w:rsidRPr="00311739" w:rsidRDefault="00311739" w:rsidP="0048244F">
      <w:pPr>
        <w:rPr>
          <w:sz w:val="24"/>
          <w:szCs w:val="24"/>
        </w:rPr>
      </w:pPr>
      <w:r>
        <w:rPr>
          <w:sz w:val="24"/>
          <w:szCs w:val="24"/>
        </w:rPr>
        <w:t>In summary, there</w:t>
      </w:r>
      <w:r w:rsidRPr="00311739">
        <w:rPr>
          <w:sz w:val="24"/>
          <w:szCs w:val="24"/>
        </w:rPr>
        <w:t xml:space="preserve"> are various reduction measures for methane and HFC gases</w:t>
      </w:r>
      <w:r w:rsidR="00B41903">
        <w:rPr>
          <w:sz w:val="24"/>
          <w:szCs w:val="24"/>
        </w:rPr>
        <w:t xml:space="preserve"> </w:t>
      </w:r>
      <w:proofErr w:type="gramStart"/>
      <w:r w:rsidR="00B41903">
        <w:rPr>
          <w:sz w:val="24"/>
          <w:szCs w:val="24"/>
        </w:rPr>
        <w:t xml:space="preserve">and </w:t>
      </w:r>
      <w:r w:rsidR="00B41903" w:rsidRPr="00311739">
        <w:rPr>
          <w:sz w:val="24"/>
          <w:szCs w:val="24"/>
        </w:rPr>
        <w:t xml:space="preserve"> </w:t>
      </w:r>
      <w:r w:rsidRPr="00311739">
        <w:rPr>
          <w:sz w:val="24"/>
          <w:szCs w:val="24"/>
        </w:rPr>
        <w:t>each</w:t>
      </w:r>
      <w:proofErr w:type="gramEnd"/>
      <w:r w:rsidRPr="00311739">
        <w:rPr>
          <w:sz w:val="24"/>
          <w:szCs w:val="24"/>
        </w:rPr>
        <w:t xml:space="preserve"> </w:t>
      </w:r>
      <w:proofErr w:type="gramStart"/>
      <w:r w:rsidRPr="00311739">
        <w:rPr>
          <w:sz w:val="24"/>
          <w:szCs w:val="24"/>
        </w:rPr>
        <w:t>need</w:t>
      </w:r>
      <w:proofErr w:type="gramEnd"/>
      <w:r w:rsidRPr="00311739">
        <w:rPr>
          <w:sz w:val="24"/>
          <w:szCs w:val="24"/>
        </w:rPr>
        <w:t xml:space="preserve"> to be examined individually </w:t>
      </w:r>
      <w:r>
        <w:rPr>
          <w:sz w:val="24"/>
          <w:szCs w:val="24"/>
        </w:rPr>
        <w:t xml:space="preserve">for finding the most effective solutions. </w:t>
      </w:r>
      <w:r w:rsidR="00BF2BED">
        <w:rPr>
          <w:sz w:val="24"/>
          <w:szCs w:val="24"/>
        </w:rPr>
        <w:t xml:space="preserve">Israel regards focusing on these SLCPs as a continuation of discussions within the framework of the energy transition. </w:t>
      </w:r>
      <w:r w:rsidR="0048244F">
        <w:rPr>
          <w:sz w:val="24"/>
          <w:szCs w:val="24"/>
        </w:rPr>
        <w:t xml:space="preserve">Energy systems will have to become more sustainable in order to meet global challenges and to close the implementation gap in this critical decade.  </w:t>
      </w:r>
    </w:p>
    <w:p w14:paraId="700A54E3" w14:textId="2CC66E15" w:rsidR="00240196" w:rsidRPr="00D52A03" w:rsidRDefault="00240196" w:rsidP="001566CA"/>
    <w:sectPr w:rsidR="00240196" w:rsidRPr="00D52A03" w:rsidSect="007163D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B45"/>
    <w:multiLevelType w:val="multilevel"/>
    <w:tmpl w:val="D63C7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6182B"/>
    <w:multiLevelType w:val="multilevel"/>
    <w:tmpl w:val="B3E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27FB"/>
    <w:multiLevelType w:val="multilevel"/>
    <w:tmpl w:val="ECB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064A0"/>
    <w:multiLevelType w:val="multilevel"/>
    <w:tmpl w:val="140A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D2352"/>
    <w:multiLevelType w:val="hybridMultilevel"/>
    <w:tmpl w:val="4A2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C367B"/>
    <w:multiLevelType w:val="multilevel"/>
    <w:tmpl w:val="A5EA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66B62"/>
    <w:multiLevelType w:val="multilevel"/>
    <w:tmpl w:val="CDC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5609A"/>
    <w:multiLevelType w:val="multilevel"/>
    <w:tmpl w:val="6B3A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61F60"/>
    <w:multiLevelType w:val="multilevel"/>
    <w:tmpl w:val="B3F8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337F3"/>
    <w:multiLevelType w:val="multilevel"/>
    <w:tmpl w:val="361A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72932"/>
    <w:multiLevelType w:val="multilevel"/>
    <w:tmpl w:val="45D8F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A057F"/>
    <w:multiLevelType w:val="multilevel"/>
    <w:tmpl w:val="291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80A98"/>
    <w:multiLevelType w:val="multilevel"/>
    <w:tmpl w:val="0FF0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055FD"/>
    <w:multiLevelType w:val="multilevel"/>
    <w:tmpl w:val="461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D4810"/>
    <w:multiLevelType w:val="multilevel"/>
    <w:tmpl w:val="9C32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27CC2"/>
    <w:multiLevelType w:val="multilevel"/>
    <w:tmpl w:val="FDFC5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4602A0"/>
    <w:multiLevelType w:val="multilevel"/>
    <w:tmpl w:val="C1AE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06CBE"/>
    <w:multiLevelType w:val="multilevel"/>
    <w:tmpl w:val="164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E56019"/>
    <w:multiLevelType w:val="multilevel"/>
    <w:tmpl w:val="F8687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D270F"/>
    <w:multiLevelType w:val="multilevel"/>
    <w:tmpl w:val="65D4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C6792"/>
    <w:multiLevelType w:val="multilevel"/>
    <w:tmpl w:val="2176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F7106"/>
    <w:multiLevelType w:val="multilevel"/>
    <w:tmpl w:val="92CE5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034BB"/>
    <w:multiLevelType w:val="multilevel"/>
    <w:tmpl w:val="6D7CB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6C439C"/>
    <w:multiLevelType w:val="multilevel"/>
    <w:tmpl w:val="D372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21B9B"/>
    <w:multiLevelType w:val="multilevel"/>
    <w:tmpl w:val="62F0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22248">
    <w:abstractNumId w:val="2"/>
  </w:num>
  <w:num w:numId="2" w16cid:durableId="489367668">
    <w:abstractNumId w:val="11"/>
  </w:num>
  <w:num w:numId="3" w16cid:durableId="2017682605">
    <w:abstractNumId w:val="14"/>
  </w:num>
  <w:num w:numId="4" w16cid:durableId="864707594">
    <w:abstractNumId w:val="7"/>
  </w:num>
  <w:num w:numId="5" w16cid:durableId="2054454349">
    <w:abstractNumId w:val="0"/>
  </w:num>
  <w:num w:numId="6" w16cid:durableId="2035031965">
    <w:abstractNumId w:val="10"/>
  </w:num>
  <w:num w:numId="7" w16cid:durableId="2072733255">
    <w:abstractNumId w:val="13"/>
  </w:num>
  <w:num w:numId="8" w16cid:durableId="132065181">
    <w:abstractNumId w:val="23"/>
  </w:num>
  <w:num w:numId="9" w16cid:durableId="1167407371">
    <w:abstractNumId w:val="19"/>
  </w:num>
  <w:num w:numId="10" w16cid:durableId="1235319971">
    <w:abstractNumId w:val="1"/>
  </w:num>
  <w:num w:numId="11" w16cid:durableId="1280139678">
    <w:abstractNumId w:val="6"/>
  </w:num>
  <w:num w:numId="12" w16cid:durableId="802040799">
    <w:abstractNumId w:val="17"/>
  </w:num>
  <w:num w:numId="13" w16cid:durableId="830216478">
    <w:abstractNumId w:val="12"/>
  </w:num>
  <w:num w:numId="14" w16cid:durableId="746541198">
    <w:abstractNumId w:val="21"/>
  </w:num>
  <w:num w:numId="15" w16cid:durableId="758798435">
    <w:abstractNumId w:val="3"/>
  </w:num>
  <w:num w:numId="16" w16cid:durableId="1448113464">
    <w:abstractNumId w:val="8"/>
  </w:num>
  <w:num w:numId="17" w16cid:durableId="1208448224">
    <w:abstractNumId w:val="9"/>
  </w:num>
  <w:num w:numId="18" w16cid:durableId="2050914471">
    <w:abstractNumId w:val="18"/>
  </w:num>
  <w:num w:numId="19" w16cid:durableId="1039936945">
    <w:abstractNumId w:val="4"/>
  </w:num>
  <w:num w:numId="20" w16cid:durableId="740106171">
    <w:abstractNumId w:val="22"/>
  </w:num>
  <w:num w:numId="21" w16cid:durableId="418331947">
    <w:abstractNumId w:val="16"/>
  </w:num>
  <w:num w:numId="22" w16cid:durableId="1783915524">
    <w:abstractNumId w:val="20"/>
  </w:num>
  <w:num w:numId="23" w16cid:durableId="1295453800">
    <w:abstractNumId w:val="15"/>
  </w:num>
  <w:num w:numId="24" w16cid:durableId="1685092009">
    <w:abstractNumId w:val="24"/>
  </w:num>
  <w:num w:numId="25" w16cid:durableId="2134515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36"/>
    <w:rsid w:val="000076FC"/>
    <w:rsid w:val="000176E5"/>
    <w:rsid w:val="00062EC6"/>
    <w:rsid w:val="00076776"/>
    <w:rsid w:val="00080091"/>
    <w:rsid w:val="000C5CAA"/>
    <w:rsid w:val="000E1EB7"/>
    <w:rsid w:val="000E43B8"/>
    <w:rsid w:val="000E64FF"/>
    <w:rsid w:val="000E773D"/>
    <w:rsid w:val="00103E19"/>
    <w:rsid w:val="00122880"/>
    <w:rsid w:val="001566CA"/>
    <w:rsid w:val="00186377"/>
    <w:rsid w:val="001A0CB3"/>
    <w:rsid w:val="001D39FD"/>
    <w:rsid w:val="00222438"/>
    <w:rsid w:val="002324DD"/>
    <w:rsid w:val="00240196"/>
    <w:rsid w:val="00242369"/>
    <w:rsid w:val="00256B18"/>
    <w:rsid w:val="00275097"/>
    <w:rsid w:val="00283D0A"/>
    <w:rsid w:val="0029473B"/>
    <w:rsid w:val="002C5781"/>
    <w:rsid w:val="002D2BC8"/>
    <w:rsid w:val="002F3D5B"/>
    <w:rsid w:val="00300516"/>
    <w:rsid w:val="00311739"/>
    <w:rsid w:val="00325793"/>
    <w:rsid w:val="00376DCE"/>
    <w:rsid w:val="003773A1"/>
    <w:rsid w:val="003A7FC4"/>
    <w:rsid w:val="003D0CB5"/>
    <w:rsid w:val="003E1CAB"/>
    <w:rsid w:val="003F2B5B"/>
    <w:rsid w:val="0044293F"/>
    <w:rsid w:val="0048244F"/>
    <w:rsid w:val="004A4D38"/>
    <w:rsid w:val="004A591C"/>
    <w:rsid w:val="004B7EAD"/>
    <w:rsid w:val="004D29BC"/>
    <w:rsid w:val="004F3798"/>
    <w:rsid w:val="005078BC"/>
    <w:rsid w:val="00527691"/>
    <w:rsid w:val="00540282"/>
    <w:rsid w:val="005515A1"/>
    <w:rsid w:val="00551BDA"/>
    <w:rsid w:val="00551E19"/>
    <w:rsid w:val="005916D6"/>
    <w:rsid w:val="005B7684"/>
    <w:rsid w:val="006175F8"/>
    <w:rsid w:val="00631E17"/>
    <w:rsid w:val="00672E63"/>
    <w:rsid w:val="006C54D0"/>
    <w:rsid w:val="006D4426"/>
    <w:rsid w:val="006D4E3E"/>
    <w:rsid w:val="006F7305"/>
    <w:rsid w:val="007163D0"/>
    <w:rsid w:val="0074197A"/>
    <w:rsid w:val="00746B12"/>
    <w:rsid w:val="00755F98"/>
    <w:rsid w:val="00761A87"/>
    <w:rsid w:val="00785250"/>
    <w:rsid w:val="00822FFC"/>
    <w:rsid w:val="0085523D"/>
    <w:rsid w:val="008D0A09"/>
    <w:rsid w:val="008D792A"/>
    <w:rsid w:val="008E0877"/>
    <w:rsid w:val="008E1B1B"/>
    <w:rsid w:val="00903AB6"/>
    <w:rsid w:val="009124AA"/>
    <w:rsid w:val="00975CC5"/>
    <w:rsid w:val="00996050"/>
    <w:rsid w:val="009A73EE"/>
    <w:rsid w:val="009C44F1"/>
    <w:rsid w:val="009D6D65"/>
    <w:rsid w:val="00A2273B"/>
    <w:rsid w:val="00A367D0"/>
    <w:rsid w:val="00A434EE"/>
    <w:rsid w:val="00A65E80"/>
    <w:rsid w:val="00A8604F"/>
    <w:rsid w:val="00AF4F27"/>
    <w:rsid w:val="00B34307"/>
    <w:rsid w:val="00B41903"/>
    <w:rsid w:val="00B4226F"/>
    <w:rsid w:val="00B9119E"/>
    <w:rsid w:val="00BA6969"/>
    <w:rsid w:val="00BC1BB9"/>
    <w:rsid w:val="00BF2BED"/>
    <w:rsid w:val="00C10F80"/>
    <w:rsid w:val="00C25F01"/>
    <w:rsid w:val="00C57A06"/>
    <w:rsid w:val="00C66ED1"/>
    <w:rsid w:val="00C7276F"/>
    <w:rsid w:val="00C81F58"/>
    <w:rsid w:val="00C90136"/>
    <w:rsid w:val="00CA356C"/>
    <w:rsid w:val="00CC491C"/>
    <w:rsid w:val="00CC60D9"/>
    <w:rsid w:val="00CC7DF5"/>
    <w:rsid w:val="00D25941"/>
    <w:rsid w:val="00D52A03"/>
    <w:rsid w:val="00D63B7A"/>
    <w:rsid w:val="00DA0C35"/>
    <w:rsid w:val="00E00469"/>
    <w:rsid w:val="00E0439E"/>
    <w:rsid w:val="00E51C63"/>
    <w:rsid w:val="00E61B53"/>
    <w:rsid w:val="00E9779F"/>
    <w:rsid w:val="00EB2882"/>
    <w:rsid w:val="00EB4821"/>
    <w:rsid w:val="00EC4FEE"/>
    <w:rsid w:val="00EC5E30"/>
    <w:rsid w:val="00EC6DC0"/>
    <w:rsid w:val="00ED391D"/>
    <w:rsid w:val="00EE6ACA"/>
    <w:rsid w:val="00EF7538"/>
    <w:rsid w:val="00F07019"/>
    <w:rsid w:val="00F31DE5"/>
    <w:rsid w:val="00F47A6D"/>
    <w:rsid w:val="00F60428"/>
    <w:rsid w:val="00F742FA"/>
    <w:rsid w:val="00FC0E79"/>
    <w:rsid w:val="00FC2387"/>
    <w:rsid w:val="00FC6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4ACB"/>
  <w15:docId w15:val="{8E192D03-7475-47F3-858B-B44FD23F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3D"/>
  </w:style>
  <w:style w:type="paragraph" w:styleId="Heading2">
    <w:name w:val="heading 2"/>
    <w:basedOn w:val="Normal"/>
    <w:next w:val="Normal"/>
    <w:link w:val="Heading2Char"/>
    <w:uiPriority w:val="9"/>
    <w:unhideWhenUsed/>
    <w:qFormat/>
    <w:rsid w:val="008D0A09"/>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E30"/>
    <w:pPr>
      <w:ind w:left="720"/>
      <w:contextualSpacing/>
    </w:pPr>
  </w:style>
  <w:style w:type="character" w:styleId="Hyperlink">
    <w:name w:val="Hyperlink"/>
    <w:basedOn w:val="DefaultParagraphFont"/>
    <w:uiPriority w:val="99"/>
    <w:unhideWhenUsed/>
    <w:rsid w:val="004F3798"/>
    <w:rPr>
      <w:color w:val="0563C1" w:themeColor="hyperlink"/>
      <w:u w:val="single"/>
    </w:rPr>
  </w:style>
  <w:style w:type="character" w:customStyle="1" w:styleId="UnresolvedMention1">
    <w:name w:val="Unresolved Mention1"/>
    <w:basedOn w:val="DefaultParagraphFont"/>
    <w:uiPriority w:val="99"/>
    <w:semiHidden/>
    <w:unhideWhenUsed/>
    <w:rsid w:val="004F3798"/>
    <w:rPr>
      <w:color w:val="605E5C"/>
      <w:shd w:val="clear" w:color="auto" w:fill="E1DFDD"/>
    </w:rPr>
  </w:style>
  <w:style w:type="character" w:customStyle="1" w:styleId="Heading2Char">
    <w:name w:val="Heading 2 Char"/>
    <w:basedOn w:val="DefaultParagraphFont"/>
    <w:link w:val="Heading2"/>
    <w:uiPriority w:val="9"/>
    <w:rsid w:val="008D0A09"/>
    <w:rPr>
      <w:rFonts w:asciiTheme="majorHAnsi" w:eastAsiaTheme="majorEastAsia" w:hAnsiTheme="majorHAnsi" w:cstheme="majorBidi"/>
      <w:b/>
      <w:bCs/>
      <w:color w:val="2F5496" w:themeColor="accent1" w:themeShade="BF"/>
      <w:sz w:val="26"/>
      <w:szCs w:val="26"/>
    </w:rPr>
  </w:style>
  <w:style w:type="character" w:styleId="CommentReference">
    <w:name w:val="annotation reference"/>
    <w:basedOn w:val="DefaultParagraphFont"/>
    <w:uiPriority w:val="99"/>
    <w:semiHidden/>
    <w:unhideWhenUsed/>
    <w:rsid w:val="00785250"/>
    <w:rPr>
      <w:sz w:val="16"/>
      <w:szCs w:val="16"/>
    </w:rPr>
  </w:style>
  <w:style w:type="paragraph" w:styleId="CommentText">
    <w:name w:val="annotation text"/>
    <w:basedOn w:val="Normal"/>
    <w:link w:val="CommentTextChar"/>
    <w:uiPriority w:val="99"/>
    <w:unhideWhenUsed/>
    <w:rsid w:val="00785250"/>
    <w:pPr>
      <w:spacing w:line="240" w:lineRule="auto"/>
    </w:pPr>
    <w:rPr>
      <w:sz w:val="20"/>
      <w:szCs w:val="20"/>
    </w:rPr>
  </w:style>
  <w:style w:type="character" w:customStyle="1" w:styleId="CommentTextChar">
    <w:name w:val="Comment Text Char"/>
    <w:basedOn w:val="DefaultParagraphFont"/>
    <w:link w:val="CommentText"/>
    <w:uiPriority w:val="99"/>
    <w:rsid w:val="00785250"/>
    <w:rPr>
      <w:sz w:val="20"/>
      <w:szCs w:val="20"/>
    </w:rPr>
  </w:style>
  <w:style w:type="paragraph" w:styleId="CommentSubject">
    <w:name w:val="annotation subject"/>
    <w:basedOn w:val="CommentText"/>
    <w:next w:val="CommentText"/>
    <w:link w:val="CommentSubjectChar"/>
    <w:uiPriority w:val="99"/>
    <w:semiHidden/>
    <w:unhideWhenUsed/>
    <w:rsid w:val="00785250"/>
    <w:rPr>
      <w:b/>
      <w:bCs/>
    </w:rPr>
  </w:style>
  <w:style w:type="character" w:customStyle="1" w:styleId="CommentSubjectChar">
    <w:name w:val="Comment Subject Char"/>
    <w:basedOn w:val="CommentTextChar"/>
    <w:link w:val="CommentSubject"/>
    <w:uiPriority w:val="99"/>
    <w:semiHidden/>
    <w:rsid w:val="00785250"/>
    <w:rPr>
      <w:b/>
      <w:bCs/>
      <w:sz w:val="20"/>
      <w:szCs w:val="20"/>
    </w:rPr>
  </w:style>
  <w:style w:type="paragraph" w:styleId="BalloonText">
    <w:name w:val="Balloon Text"/>
    <w:basedOn w:val="Normal"/>
    <w:link w:val="BalloonTextChar"/>
    <w:uiPriority w:val="99"/>
    <w:semiHidden/>
    <w:unhideWhenUsed/>
    <w:rsid w:val="0078525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85250"/>
    <w:rPr>
      <w:rFonts w:ascii="Tahoma" w:hAnsi="Tahoma" w:cs="Tahoma"/>
      <w:sz w:val="18"/>
      <w:szCs w:val="18"/>
    </w:rPr>
  </w:style>
  <w:style w:type="paragraph" w:styleId="Revision">
    <w:name w:val="Revision"/>
    <w:hidden/>
    <w:uiPriority w:val="99"/>
    <w:semiHidden/>
    <w:rsid w:val="000076FC"/>
    <w:pPr>
      <w:spacing w:after="0" w:line="240" w:lineRule="auto"/>
    </w:pPr>
  </w:style>
  <w:style w:type="character" w:styleId="UnresolvedMention">
    <w:name w:val="Unresolved Mention"/>
    <w:basedOn w:val="DefaultParagraphFont"/>
    <w:uiPriority w:val="99"/>
    <w:semiHidden/>
    <w:unhideWhenUsed/>
    <w:rsid w:val="00903AB6"/>
    <w:rPr>
      <w:color w:val="605E5C"/>
      <w:shd w:val="clear" w:color="auto" w:fill="E1DFDD"/>
    </w:rPr>
  </w:style>
  <w:style w:type="character" w:styleId="FollowedHyperlink">
    <w:name w:val="FollowedHyperlink"/>
    <w:basedOn w:val="DefaultParagraphFont"/>
    <w:uiPriority w:val="99"/>
    <w:semiHidden/>
    <w:unhideWhenUsed/>
    <w:rsid w:val="00903AB6"/>
    <w:rPr>
      <w:color w:val="954F72" w:themeColor="followedHyperlink"/>
      <w:u w:val="single"/>
    </w:rPr>
  </w:style>
  <w:style w:type="paragraph" w:styleId="BodyText">
    <w:name w:val="Body Text"/>
    <w:basedOn w:val="Normal"/>
    <w:link w:val="BodyTextChar"/>
    <w:rsid w:val="002D2BC8"/>
    <w:pPr>
      <w:tabs>
        <w:tab w:val="left" w:pos="709"/>
      </w:tabs>
      <w:spacing w:after="0" w:line="240" w:lineRule="auto"/>
    </w:pPr>
    <w:rPr>
      <w:rFonts w:ascii="Arial" w:eastAsia="Times New Roman" w:hAnsi="Arial" w:cs="Times New Roman"/>
      <w:sz w:val="24"/>
      <w:szCs w:val="24"/>
      <w:lang w:val="it-IT" w:bidi="ar-SA"/>
    </w:rPr>
  </w:style>
  <w:style w:type="character" w:customStyle="1" w:styleId="BodyTextChar">
    <w:name w:val="Body Text Char"/>
    <w:basedOn w:val="DefaultParagraphFont"/>
    <w:link w:val="BodyText"/>
    <w:rsid w:val="002D2BC8"/>
    <w:rPr>
      <w:rFonts w:ascii="Arial" w:eastAsia="Times New Roman" w:hAnsi="Arial" w:cs="Times New Roman"/>
      <w:sz w:val="24"/>
      <w:szCs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37">
      <w:bodyDiv w:val="1"/>
      <w:marLeft w:val="0"/>
      <w:marRight w:val="0"/>
      <w:marTop w:val="0"/>
      <w:marBottom w:val="0"/>
      <w:divBdr>
        <w:top w:val="none" w:sz="0" w:space="0" w:color="auto"/>
        <w:left w:val="none" w:sz="0" w:space="0" w:color="auto"/>
        <w:bottom w:val="none" w:sz="0" w:space="0" w:color="auto"/>
        <w:right w:val="none" w:sz="0" w:space="0" w:color="auto"/>
      </w:divBdr>
      <w:divsChild>
        <w:div w:id="1761414351">
          <w:marLeft w:val="0"/>
          <w:marRight w:val="0"/>
          <w:marTop w:val="0"/>
          <w:marBottom w:val="0"/>
          <w:divBdr>
            <w:top w:val="none" w:sz="0" w:space="0" w:color="auto"/>
            <w:left w:val="none" w:sz="0" w:space="0" w:color="auto"/>
            <w:bottom w:val="none" w:sz="0" w:space="0" w:color="auto"/>
            <w:right w:val="none" w:sz="0" w:space="0" w:color="auto"/>
          </w:divBdr>
          <w:divsChild>
            <w:div w:id="1460760723">
              <w:marLeft w:val="0"/>
              <w:marRight w:val="0"/>
              <w:marTop w:val="0"/>
              <w:marBottom w:val="0"/>
              <w:divBdr>
                <w:top w:val="none" w:sz="0" w:space="0" w:color="auto"/>
                <w:left w:val="none" w:sz="0" w:space="0" w:color="auto"/>
                <w:bottom w:val="none" w:sz="0" w:space="0" w:color="auto"/>
                <w:right w:val="none" w:sz="0" w:space="0" w:color="auto"/>
              </w:divBdr>
              <w:divsChild>
                <w:div w:id="10249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3098">
      <w:bodyDiv w:val="1"/>
      <w:marLeft w:val="0"/>
      <w:marRight w:val="0"/>
      <w:marTop w:val="0"/>
      <w:marBottom w:val="0"/>
      <w:divBdr>
        <w:top w:val="none" w:sz="0" w:space="0" w:color="auto"/>
        <w:left w:val="none" w:sz="0" w:space="0" w:color="auto"/>
        <w:bottom w:val="none" w:sz="0" w:space="0" w:color="auto"/>
        <w:right w:val="none" w:sz="0" w:space="0" w:color="auto"/>
      </w:divBdr>
    </w:div>
    <w:div w:id="297420839">
      <w:bodyDiv w:val="1"/>
      <w:marLeft w:val="0"/>
      <w:marRight w:val="0"/>
      <w:marTop w:val="0"/>
      <w:marBottom w:val="0"/>
      <w:divBdr>
        <w:top w:val="none" w:sz="0" w:space="0" w:color="auto"/>
        <w:left w:val="none" w:sz="0" w:space="0" w:color="auto"/>
        <w:bottom w:val="none" w:sz="0" w:space="0" w:color="auto"/>
        <w:right w:val="none" w:sz="0" w:space="0" w:color="auto"/>
      </w:divBdr>
      <w:divsChild>
        <w:div w:id="344602625">
          <w:marLeft w:val="0"/>
          <w:marRight w:val="0"/>
          <w:marTop w:val="0"/>
          <w:marBottom w:val="0"/>
          <w:divBdr>
            <w:top w:val="none" w:sz="0" w:space="0" w:color="auto"/>
            <w:left w:val="none" w:sz="0" w:space="0" w:color="auto"/>
            <w:bottom w:val="none" w:sz="0" w:space="0" w:color="auto"/>
            <w:right w:val="none" w:sz="0" w:space="0" w:color="auto"/>
          </w:divBdr>
          <w:divsChild>
            <w:div w:id="666398742">
              <w:marLeft w:val="0"/>
              <w:marRight w:val="0"/>
              <w:marTop w:val="0"/>
              <w:marBottom w:val="0"/>
              <w:divBdr>
                <w:top w:val="none" w:sz="0" w:space="0" w:color="auto"/>
                <w:left w:val="none" w:sz="0" w:space="0" w:color="auto"/>
                <w:bottom w:val="none" w:sz="0" w:space="0" w:color="auto"/>
                <w:right w:val="none" w:sz="0" w:space="0" w:color="auto"/>
              </w:divBdr>
              <w:divsChild>
                <w:div w:id="1135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3420">
      <w:bodyDiv w:val="1"/>
      <w:marLeft w:val="0"/>
      <w:marRight w:val="0"/>
      <w:marTop w:val="0"/>
      <w:marBottom w:val="0"/>
      <w:divBdr>
        <w:top w:val="none" w:sz="0" w:space="0" w:color="auto"/>
        <w:left w:val="none" w:sz="0" w:space="0" w:color="auto"/>
        <w:bottom w:val="none" w:sz="0" w:space="0" w:color="auto"/>
        <w:right w:val="none" w:sz="0" w:space="0" w:color="auto"/>
      </w:divBdr>
      <w:divsChild>
        <w:div w:id="1895001991">
          <w:marLeft w:val="0"/>
          <w:marRight w:val="0"/>
          <w:marTop w:val="0"/>
          <w:marBottom w:val="0"/>
          <w:divBdr>
            <w:top w:val="none" w:sz="0" w:space="0" w:color="auto"/>
            <w:left w:val="none" w:sz="0" w:space="0" w:color="auto"/>
            <w:bottom w:val="none" w:sz="0" w:space="0" w:color="auto"/>
            <w:right w:val="none" w:sz="0" w:space="0" w:color="auto"/>
          </w:divBdr>
          <w:divsChild>
            <w:div w:id="2008635588">
              <w:marLeft w:val="0"/>
              <w:marRight w:val="0"/>
              <w:marTop w:val="0"/>
              <w:marBottom w:val="0"/>
              <w:divBdr>
                <w:top w:val="none" w:sz="0" w:space="0" w:color="auto"/>
                <w:left w:val="none" w:sz="0" w:space="0" w:color="auto"/>
                <w:bottom w:val="none" w:sz="0" w:space="0" w:color="auto"/>
                <w:right w:val="none" w:sz="0" w:space="0" w:color="auto"/>
              </w:divBdr>
              <w:divsChild>
                <w:div w:id="1622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4871">
      <w:bodyDiv w:val="1"/>
      <w:marLeft w:val="0"/>
      <w:marRight w:val="0"/>
      <w:marTop w:val="0"/>
      <w:marBottom w:val="0"/>
      <w:divBdr>
        <w:top w:val="none" w:sz="0" w:space="0" w:color="auto"/>
        <w:left w:val="none" w:sz="0" w:space="0" w:color="auto"/>
        <w:bottom w:val="none" w:sz="0" w:space="0" w:color="auto"/>
        <w:right w:val="none" w:sz="0" w:space="0" w:color="auto"/>
      </w:divBdr>
      <w:divsChild>
        <w:div w:id="171383822">
          <w:marLeft w:val="0"/>
          <w:marRight w:val="0"/>
          <w:marTop w:val="0"/>
          <w:marBottom w:val="0"/>
          <w:divBdr>
            <w:top w:val="none" w:sz="0" w:space="0" w:color="auto"/>
            <w:left w:val="none" w:sz="0" w:space="0" w:color="auto"/>
            <w:bottom w:val="none" w:sz="0" w:space="0" w:color="auto"/>
            <w:right w:val="none" w:sz="0" w:space="0" w:color="auto"/>
          </w:divBdr>
          <w:divsChild>
            <w:div w:id="1698659594">
              <w:marLeft w:val="0"/>
              <w:marRight w:val="0"/>
              <w:marTop w:val="0"/>
              <w:marBottom w:val="0"/>
              <w:divBdr>
                <w:top w:val="none" w:sz="0" w:space="0" w:color="auto"/>
                <w:left w:val="none" w:sz="0" w:space="0" w:color="auto"/>
                <w:bottom w:val="none" w:sz="0" w:space="0" w:color="auto"/>
                <w:right w:val="none" w:sz="0" w:space="0" w:color="auto"/>
              </w:divBdr>
              <w:divsChild>
                <w:div w:id="20172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2940">
      <w:bodyDiv w:val="1"/>
      <w:marLeft w:val="0"/>
      <w:marRight w:val="0"/>
      <w:marTop w:val="0"/>
      <w:marBottom w:val="0"/>
      <w:divBdr>
        <w:top w:val="none" w:sz="0" w:space="0" w:color="auto"/>
        <w:left w:val="none" w:sz="0" w:space="0" w:color="auto"/>
        <w:bottom w:val="none" w:sz="0" w:space="0" w:color="auto"/>
        <w:right w:val="none" w:sz="0" w:space="0" w:color="auto"/>
      </w:divBdr>
      <w:divsChild>
        <w:div w:id="1412434376">
          <w:marLeft w:val="0"/>
          <w:marRight w:val="0"/>
          <w:marTop w:val="0"/>
          <w:marBottom w:val="0"/>
          <w:divBdr>
            <w:top w:val="none" w:sz="0" w:space="0" w:color="auto"/>
            <w:left w:val="none" w:sz="0" w:space="0" w:color="auto"/>
            <w:bottom w:val="none" w:sz="0" w:space="0" w:color="auto"/>
            <w:right w:val="none" w:sz="0" w:space="0" w:color="auto"/>
          </w:divBdr>
          <w:divsChild>
            <w:div w:id="1080837000">
              <w:marLeft w:val="0"/>
              <w:marRight w:val="0"/>
              <w:marTop w:val="0"/>
              <w:marBottom w:val="0"/>
              <w:divBdr>
                <w:top w:val="none" w:sz="0" w:space="0" w:color="auto"/>
                <w:left w:val="none" w:sz="0" w:space="0" w:color="auto"/>
                <w:bottom w:val="none" w:sz="0" w:space="0" w:color="auto"/>
                <w:right w:val="none" w:sz="0" w:space="0" w:color="auto"/>
              </w:divBdr>
              <w:divsChild>
                <w:div w:id="1123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2024</Year>
    <UNF3CSPThematicAreas xmlns="6920f5ab-9618-4f6e-a652-41e6f8b811ff"/>
    <UNF3CSPEntity xmlns="cd1c2313-39f8-4f5d-8e14-5f0ea1c36a8a">Israel</UNF3CSPEntity>
    <UNF3CSPInvitationToSubmit xmlns="cd1c2313-39f8-4f5d-8e14-5f0ea1c36a8a">1451</UNF3CSPInvitationToSubmit>
    <UNF3CSPSubmissionDate xmlns="6920f5ab-9618-4f6e-a652-41e6f8b811ff">2024-03-30T13:06:00+00:00</UNF3CSPSubmissionDate>
    <UNF3CSPEntityType xmlns="6920f5ab-9618-4f6e-a652-41e6f8b811ff">Party</UNF3CSPEntityType>
    <Issue xmlns="6920f5ab-9618-4f6e-a652-41e6f8b811ff">Sharm el-Sheikh mitigation ambition and implementation work  programme</Issue>
    <UNF3CSPDescription xmlns="cd1c2313-39f8-4f5d-8e14-5f0ea1c36a8a" xsi:nil="true"/>
    <Date_x0020_Of_x0020_Call xmlns="6920f5ab-9618-4f6e-a652-41e6f8b811ff">2024-01-31T23:00:00+00:00</Date_x0020_Of_x0020_Call>
    <UNF3CSPLanguage xmlns="cd1c2313-39f8-4f5d-8e14-5f0ea1c36a8a">English</UNF3CSPLanguage>
    <Mandate xmlns="6920f5ab-9618-4f6e-a652-41e6f8b811ff">Decision 4/CMA.4, para. 12
FCCC/PA/CMA/2023/L.16, para. 7</Mandate>
    <Session xmlns="6920f5ab-9618-4f6e-a652-41e6f8b811ff">SB 60</Session>
    <SourceItemID xmlns="6920f5ab-9618-4f6e-a652-41e6f8b811ff" xsi:nil="true"/>
    <Theme xmlns="6920f5ab-9618-4f6e-a652-41e6f8b811ff" xsi:nil="true"/>
    <UNF3CSPBody xmlns="6920f5ab-9618-4f6e-a652-41e6f8b811ff">SBI, SBSTA</UNF3CSPBod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CE3E3-3C57-4FC6-ACC2-D4950246E1C7}"/>
</file>

<file path=customXml/itemProps2.xml><?xml version="1.0" encoding="utf-8"?>
<ds:datastoreItem xmlns:ds="http://schemas.openxmlformats.org/officeDocument/2006/customXml" ds:itemID="{8071F3FF-3C65-4EDE-A98E-85922D9EA544}"/>
</file>

<file path=customXml/itemProps3.xml><?xml version="1.0" encoding="utf-8"?>
<ds:datastoreItem xmlns:ds="http://schemas.openxmlformats.org/officeDocument/2006/customXml" ds:itemID="{E707E75A-18D3-40FB-BA1B-B248DE67C661}"/>
</file>

<file path=customXml/itemProps4.xml><?xml version="1.0" encoding="utf-8"?>
<ds:datastoreItem xmlns:ds="http://schemas.openxmlformats.org/officeDocument/2006/customXml" ds:itemID="{99F80EEC-4395-4D1A-8100-F21B1B9E8C13}"/>
</file>

<file path=docProps/app.xml><?xml version="1.0" encoding="utf-8"?>
<Properties xmlns="http://schemas.openxmlformats.org/officeDocument/2006/extended-properties" xmlns:vt="http://schemas.openxmlformats.org/officeDocument/2006/docPropsVTypes">
  <Template>Normal</Template>
  <TotalTime>1504</TotalTime>
  <Pages>2</Pages>
  <Words>785</Words>
  <Characters>4478</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רוני גינת</dc:creator>
  <cp:keywords/>
  <dc:description/>
  <cp:lastModifiedBy>אילת רוזן  Ayelet Rosen</cp:lastModifiedBy>
  <cp:revision>1</cp:revision>
  <dcterms:created xsi:type="dcterms:W3CDTF">2024-03-06T12:23:00Z</dcterms:created>
  <dcterms:modified xsi:type="dcterms:W3CDTF">2024-03-18T11:26:00Z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1161600</vt:r8>
  </property>
  <property fmtid="{D5CDD505-2E9C-101B-9397-08002B2CF9AE}" pid="4" name="xd_ProgID">
    <vt:lpwstr/>
  </property>
  <property fmtid="{D5CDD505-2E9C-101B-9397-08002B2CF9AE}" pid="5" name="_CopySource">
    <vt:lpwstr>https://process.unfccc.int/sites/SubmissionsStaging/Documents/202403301306---MWP submission final.docx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