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diagrams/data2.xml" ContentType="application/vnd.openxmlformats-officedocument.drawingml.diagramData+xml"/>
  <Override PartName="/word/diagrams/data1.xml" ContentType="application/vnd.openxmlformats-officedocument.drawingml.diagramData+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diagrams/layout2.xml" ContentType="application/vnd.openxmlformats-officedocument.drawingml.diagramLayout+xml"/>
  <Override PartName="/word/theme/theme1.xml" ContentType="application/vnd.openxmlformats-officedocument.theme+xml"/>
  <Override PartName="/word/diagrams/colors2.xml" ContentType="application/vnd.openxmlformats-officedocument.drawingml.diagramColors+xml"/>
  <Override PartName="/word/diagrams/drawing2.xml" ContentType="application/vnd.ms-office.drawingml.diagramDrawing+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diagrams/quickStyle2.xml" ContentType="application/vnd.openxmlformats-officedocument.drawingml.diagramStyl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89CD5" w14:textId="77777777" w:rsidR="00F01E4F" w:rsidRDefault="00F01E4F" w:rsidP="00115232">
      <w:pPr>
        <w:pStyle w:val="Heading3"/>
        <w:jc w:val="center"/>
        <w:rPr>
          <w:sz w:val="28"/>
          <w:szCs w:val="28"/>
          <w:lang w:val="en-GB"/>
        </w:rPr>
      </w:pPr>
    </w:p>
    <w:p w14:paraId="63BEBBEC" w14:textId="76449803" w:rsidR="00115232" w:rsidRPr="00604C24" w:rsidRDefault="00115232" w:rsidP="00115232">
      <w:pPr>
        <w:pStyle w:val="Heading3"/>
        <w:jc w:val="center"/>
        <w:rPr>
          <w:b w:val="0"/>
          <w:sz w:val="28"/>
          <w:szCs w:val="28"/>
          <w:lang w:val="en-GB"/>
        </w:rPr>
      </w:pPr>
      <w:r w:rsidRPr="00604C24">
        <w:rPr>
          <w:sz w:val="28"/>
          <w:szCs w:val="28"/>
          <w:lang w:val="en-GB"/>
        </w:rPr>
        <w:t>SUBMISSION BY CHILE ON BEHALF OF THE AILAC GROUP OF COUNTRIES COMPOSED BY CHILE, COLOMBIA, COSTA RICA, HONDURAS, GUATEMALA, PANAMA, PARAGUAY AND PERU</w:t>
      </w:r>
    </w:p>
    <w:p w14:paraId="67693AA3" w14:textId="77777777" w:rsidR="00CA1D20" w:rsidRPr="00604C24" w:rsidRDefault="00CA1D20" w:rsidP="00AD515E">
      <w:pPr>
        <w:spacing w:after="0"/>
        <w:jc w:val="both"/>
        <w:rPr>
          <w:rStyle w:val="author-g-4mvqifz122zpebz122zf30gt"/>
          <w:rFonts w:asciiTheme="majorHAnsi" w:hAnsiTheme="majorHAnsi" w:cs="Calibri"/>
          <w:sz w:val="20"/>
          <w:szCs w:val="20"/>
          <w:u w:color="000000"/>
          <w:bdr w:val="nil"/>
          <w:lang w:val="en-US"/>
        </w:rPr>
      </w:pPr>
    </w:p>
    <w:p w14:paraId="058F0DCA" w14:textId="634C2685" w:rsidR="00615709" w:rsidRPr="00604C24" w:rsidRDefault="00BF7551" w:rsidP="00387114">
      <w:pPr>
        <w:jc w:val="center"/>
        <w:rPr>
          <w:rFonts w:asciiTheme="majorHAnsi" w:hAnsiTheme="majorHAnsi" w:cs="Arial"/>
          <w:b/>
          <w:color w:val="17365D"/>
          <w:sz w:val="32"/>
          <w:lang w:val="en-GB"/>
        </w:rPr>
      </w:pPr>
      <w:r>
        <w:rPr>
          <w:rFonts w:asciiTheme="majorHAnsi" w:hAnsiTheme="majorHAnsi" w:cs="Arial"/>
          <w:b/>
          <w:color w:val="17365D"/>
          <w:sz w:val="32"/>
          <w:lang w:val="en-GB"/>
        </w:rPr>
        <w:t>Ways to achieve Article 2.1c of the Paris Agreement</w:t>
      </w:r>
    </w:p>
    <w:p w14:paraId="2C271FB4" w14:textId="411EF93A" w:rsidR="00455D83" w:rsidRPr="00E12A5A" w:rsidRDefault="00115232" w:rsidP="005F25AE">
      <w:pPr>
        <w:pStyle w:val="Default"/>
        <w:jc w:val="both"/>
        <w:rPr>
          <w:rFonts w:asciiTheme="majorHAnsi" w:hAnsiTheme="majorHAnsi"/>
          <w:sz w:val="20"/>
          <w:szCs w:val="20"/>
          <w:lang w:val="en-GB"/>
        </w:rPr>
      </w:pPr>
      <w:r w:rsidRPr="00E12A5A">
        <w:rPr>
          <w:rFonts w:asciiTheme="majorHAnsi" w:hAnsiTheme="majorHAnsi" w:cstheme="minorHAnsi"/>
          <w:color w:val="auto"/>
          <w:sz w:val="20"/>
          <w:szCs w:val="20"/>
          <w:lang w:val="en-US"/>
        </w:rPr>
        <w:t xml:space="preserve">Following the invitation by </w:t>
      </w:r>
      <w:r w:rsidR="0036455F">
        <w:rPr>
          <w:rFonts w:asciiTheme="majorHAnsi" w:hAnsiTheme="majorHAnsi" w:cstheme="minorHAnsi"/>
          <w:color w:val="auto"/>
          <w:sz w:val="20"/>
          <w:szCs w:val="20"/>
          <w:lang w:val="en-US"/>
        </w:rPr>
        <w:t xml:space="preserve">the </w:t>
      </w:r>
      <w:r w:rsidRPr="00E12A5A">
        <w:rPr>
          <w:rFonts w:asciiTheme="majorHAnsi" w:hAnsiTheme="majorHAnsi" w:cstheme="minorHAnsi"/>
          <w:sz w:val="20"/>
          <w:szCs w:val="20"/>
          <w:lang w:val="en-US"/>
        </w:rPr>
        <w:t>CMA3</w:t>
      </w:r>
      <w:r w:rsidR="00766EBE">
        <w:rPr>
          <w:rFonts w:asciiTheme="majorHAnsi" w:hAnsiTheme="majorHAnsi" w:cstheme="minorHAnsi"/>
          <w:sz w:val="20"/>
          <w:szCs w:val="20"/>
          <w:lang w:val="en-US"/>
        </w:rPr>
        <w:t>,</w:t>
      </w:r>
      <w:r w:rsidRPr="00E12A5A">
        <w:rPr>
          <w:rFonts w:asciiTheme="majorHAnsi" w:hAnsiTheme="majorHAnsi" w:cstheme="minorHAnsi"/>
          <w:sz w:val="20"/>
          <w:szCs w:val="20"/>
          <w:lang w:val="en-US"/>
        </w:rPr>
        <w:t xml:space="preserve"> as per document FCCC/PA/CMA/2021/L.1</w:t>
      </w:r>
      <w:r w:rsidR="00283B06">
        <w:rPr>
          <w:rFonts w:asciiTheme="majorHAnsi" w:hAnsiTheme="majorHAnsi" w:cstheme="minorHAnsi"/>
          <w:sz w:val="20"/>
          <w:szCs w:val="20"/>
          <w:lang w:val="en-US"/>
        </w:rPr>
        <w:t>1</w:t>
      </w:r>
      <w:r w:rsidRPr="00E12A5A">
        <w:rPr>
          <w:rFonts w:asciiTheme="majorHAnsi" w:hAnsiTheme="majorHAnsi" w:cstheme="minorHAnsi"/>
          <w:sz w:val="20"/>
          <w:szCs w:val="20"/>
          <w:lang w:val="en-US"/>
        </w:rPr>
        <w:t xml:space="preserve"> paragraph </w:t>
      </w:r>
      <w:r w:rsidR="00283B06">
        <w:rPr>
          <w:rFonts w:asciiTheme="majorHAnsi" w:hAnsiTheme="majorHAnsi" w:cstheme="minorHAnsi"/>
          <w:sz w:val="20"/>
          <w:szCs w:val="20"/>
          <w:lang w:val="en-US"/>
        </w:rPr>
        <w:t>2</w:t>
      </w:r>
      <w:r w:rsidRPr="00E12A5A">
        <w:rPr>
          <w:rFonts w:asciiTheme="majorHAnsi" w:hAnsiTheme="majorHAnsi" w:cstheme="minorHAnsi"/>
          <w:color w:val="auto"/>
          <w:sz w:val="20"/>
          <w:szCs w:val="20"/>
          <w:lang w:val="en-US"/>
        </w:rPr>
        <w:t xml:space="preserve">, the AILAC group of countries welcomes the opportunity to provide views on </w:t>
      </w:r>
      <w:r w:rsidR="00283B06">
        <w:rPr>
          <w:rFonts w:asciiTheme="majorHAnsi" w:hAnsiTheme="majorHAnsi" w:cstheme="minorHAnsi"/>
          <w:color w:val="auto"/>
          <w:sz w:val="20"/>
          <w:szCs w:val="20"/>
          <w:lang w:val="en-US"/>
        </w:rPr>
        <w:t>ways to achieve Article 2, paragraph 1 c) of the Paris Agreement, including options for approaches and guidelines for implementation</w:t>
      </w:r>
      <w:r w:rsidRPr="00E12A5A">
        <w:rPr>
          <w:rFonts w:asciiTheme="majorHAnsi" w:hAnsiTheme="majorHAnsi" w:cstheme="minorHAnsi"/>
          <w:color w:val="auto"/>
          <w:sz w:val="20"/>
          <w:szCs w:val="20"/>
          <w:lang w:val="en-US"/>
        </w:rPr>
        <w:t>.</w:t>
      </w:r>
    </w:p>
    <w:p w14:paraId="70170490" w14:textId="77777777" w:rsidR="00E12A5A" w:rsidRPr="00E12A5A" w:rsidRDefault="00E12A5A" w:rsidP="00E12A5A">
      <w:pPr>
        <w:pStyle w:val="Default"/>
        <w:ind w:left="360"/>
        <w:jc w:val="both"/>
        <w:rPr>
          <w:rFonts w:asciiTheme="majorHAnsi" w:hAnsiTheme="majorHAnsi"/>
          <w:sz w:val="20"/>
          <w:szCs w:val="20"/>
          <w:lang w:val="en-GB"/>
        </w:rPr>
      </w:pPr>
    </w:p>
    <w:p w14:paraId="3C117D0A" w14:textId="77777777" w:rsidR="00E56302" w:rsidRDefault="00C279BD" w:rsidP="00283B06">
      <w:pPr>
        <w:pStyle w:val="Default"/>
        <w:jc w:val="both"/>
        <w:rPr>
          <w:rFonts w:asciiTheme="majorHAnsi" w:hAnsiTheme="majorHAnsi" w:cstheme="minorHAnsi"/>
          <w:sz w:val="20"/>
          <w:szCs w:val="20"/>
          <w:lang w:val="en-GB"/>
        </w:rPr>
      </w:pPr>
      <w:r>
        <w:rPr>
          <w:rFonts w:asciiTheme="majorHAnsi" w:hAnsiTheme="majorHAnsi" w:cstheme="minorHAnsi"/>
          <w:sz w:val="20"/>
          <w:szCs w:val="20"/>
          <w:lang w:val="en-US"/>
        </w:rPr>
        <w:t xml:space="preserve">AILAC would firstly point to the fact that </w:t>
      </w:r>
      <w:r w:rsidR="00E56302">
        <w:rPr>
          <w:rFonts w:asciiTheme="majorHAnsi" w:hAnsiTheme="majorHAnsi" w:cstheme="minorHAnsi"/>
          <w:sz w:val="20"/>
          <w:szCs w:val="20"/>
          <w:lang w:val="en-GB"/>
        </w:rPr>
        <w:t xml:space="preserve">the operationalization of </w:t>
      </w:r>
      <w:r w:rsidR="00E56302" w:rsidRPr="008A223A">
        <w:rPr>
          <w:rFonts w:asciiTheme="majorHAnsi" w:hAnsiTheme="majorHAnsi" w:cstheme="minorHAnsi"/>
          <w:sz w:val="20"/>
          <w:szCs w:val="20"/>
          <w:lang w:val="en-GB"/>
        </w:rPr>
        <w:t>Article 2.1c</w:t>
      </w:r>
      <w:r w:rsidR="00E56302">
        <w:rPr>
          <w:rFonts w:asciiTheme="majorHAnsi" w:hAnsiTheme="majorHAnsi" w:cstheme="minorHAnsi"/>
          <w:sz w:val="20"/>
          <w:szCs w:val="20"/>
          <w:lang w:val="en-GB"/>
        </w:rPr>
        <w:t xml:space="preserve"> does </w:t>
      </w:r>
      <w:r w:rsidR="00E56302" w:rsidRPr="008A223A">
        <w:rPr>
          <w:rFonts w:asciiTheme="majorHAnsi" w:hAnsiTheme="majorHAnsi" w:cstheme="minorHAnsi"/>
          <w:sz w:val="20"/>
          <w:szCs w:val="20"/>
          <w:lang w:val="en-GB"/>
        </w:rPr>
        <w:t>not substitute developed country Parties</w:t>
      </w:r>
      <w:r w:rsidR="00E56302">
        <w:rPr>
          <w:rFonts w:asciiTheme="majorHAnsi" w:hAnsiTheme="majorHAnsi" w:cstheme="minorHAnsi"/>
          <w:sz w:val="20"/>
          <w:szCs w:val="20"/>
          <w:lang w:val="en-GB"/>
        </w:rPr>
        <w:t>’</w:t>
      </w:r>
      <w:r w:rsidR="00E56302" w:rsidRPr="008A223A">
        <w:rPr>
          <w:rFonts w:asciiTheme="majorHAnsi" w:hAnsiTheme="majorHAnsi" w:cstheme="minorHAnsi"/>
          <w:sz w:val="20"/>
          <w:szCs w:val="20"/>
          <w:lang w:val="en-GB"/>
        </w:rPr>
        <w:t xml:space="preserve"> obligations of provision and mobilization of finance to the developing world</w:t>
      </w:r>
      <w:r w:rsidR="00E56302">
        <w:rPr>
          <w:rFonts w:asciiTheme="majorHAnsi" w:hAnsiTheme="majorHAnsi" w:cstheme="minorHAnsi"/>
          <w:sz w:val="20"/>
          <w:szCs w:val="20"/>
          <w:lang w:val="en-GB"/>
        </w:rPr>
        <w:t>, as per Article 9 of the Paris Agreement, that give continuation and enhance developed countries financial obligations enshrined in the UNFCCC</w:t>
      </w:r>
      <w:r w:rsidR="00E56302" w:rsidRPr="008A223A">
        <w:rPr>
          <w:rFonts w:asciiTheme="majorHAnsi" w:hAnsiTheme="majorHAnsi" w:cstheme="minorHAnsi"/>
          <w:sz w:val="20"/>
          <w:szCs w:val="20"/>
          <w:lang w:val="en-GB"/>
        </w:rPr>
        <w:t>. Article 2.1c), being one of the</w:t>
      </w:r>
      <w:r w:rsidR="00E56302" w:rsidRPr="00BF14C6">
        <w:rPr>
          <w:rFonts w:asciiTheme="majorHAnsi" w:hAnsiTheme="majorHAnsi" w:cstheme="minorHAnsi"/>
          <w:sz w:val="20"/>
          <w:szCs w:val="20"/>
          <w:lang w:val="en-GB"/>
        </w:rPr>
        <w:t xml:space="preserve"> long-term goals of the Paris Agreement, can act as an enabler and an amplifier of efforts to realize Article 2.1a) and 2.1b) and its operationalization should reflect the interconnection of finance flows to the overall ambition of the Agreement so to keep temperature increases to below 1.5</w:t>
      </w:r>
      <w:r w:rsidR="00E56302">
        <w:rPr>
          <w:rFonts w:asciiTheme="majorHAnsi" w:hAnsiTheme="majorHAnsi" w:cstheme="minorHAnsi"/>
          <w:sz w:val="20"/>
          <w:szCs w:val="20"/>
          <w:lang w:val="en-GB"/>
        </w:rPr>
        <w:t>°</w:t>
      </w:r>
      <w:r w:rsidR="00E56302" w:rsidRPr="00BF14C6">
        <w:rPr>
          <w:rFonts w:asciiTheme="majorHAnsi" w:hAnsiTheme="majorHAnsi" w:cstheme="minorHAnsi"/>
          <w:sz w:val="20"/>
          <w:szCs w:val="20"/>
          <w:lang w:val="en-GB"/>
        </w:rPr>
        <w:t>C and building resilience. From this perspective, Article 2.1c) relates to all financial flows; public and private, domestic and international, green and brown, and all Parties are obliged to promote finance flows to be consistent with decarbonization and resilience.</w:t>
      </w:r>
    </w:p>
    <w:p w14:paraId="687257E6" w14:textId="77777777" w:rsidR="00E56302" w:rsidRDefault="00E56302" w:rsidP="00283B06">
      <w:pPr>
        <w:pStyle w:val="Default"/>
        <w:jc w:val="both"/>
        <w:rPr>
          <w:rFonts w:asciiTheme="majorHAnsi" w:hAnsiTheme="majorHAnsi" w:cstheme="minorHAnsi"/>
          <w:sz w:val="20"/>
          <w:szCs w:val="20"/>
          <w:lang w:val="en-GB"/>
        </w:rPr>
      </w:pPr>
    </w:p>
    <w:p w14:paraId="32BE31F7" w14:textId="56DA0096" w:rsidR="00C279BD" w:rsidRDefault="00E56302" w:rsidP="00283B06">
      <w:pPr>
        <w:pStyle w:val="Default"/>
        <w:jc w:val="both"/>
        <w:rPr>
          <w:rFonts w:asciiTheme="majorHAnsi" w:hAnsiTheme="majorHAnsi" w:cstheme="minorHAnsi"/>
          <w:sz w:val="20"/>
          <w:lang w:val="en-GB"/>
        </w:rPr>
      </w:pPr>
      <w:r>
        <w:rPr>
          <w:rFonts w:asciiTheme="majorHAnsi" w:hAnsiTheme="majorHAnsi" w:cstheme="minorHAnsi"/>
          <w:sz w:val="20"/>
          <w:szCs w:val="20"/>
          <w:lang w:val="en-US"/>
        </w:rPr>
        <w:t>T</w:t>
      </w:r>
      <w:r w:rsidR="00C279BD">
        <w:rPr>
          <w:rFonts w:asciiTheme="majorHAnsi" w:hAnsiTheme="majorHAnsi" w:cstheme="minorHAnsi"/>
          <w:sz w:val="20"/>
          <w:szCs w:val="20"/>
          <w:lang w:val="en-US"/>
        </w:rPr>
        <w:t>hus</w:t>
      </w:r>
      <w:r>
        <w:rPr>
          <w:rFonts w:asciiTheme="majorHAnsi" w:hAnsiTheme="majorHAnsi" w:cstheme="minorHAnsi"/>
          <w:sz w:val="20"/>
          <w:szCs w:val="20"/>
          <w:lang w:val="en-US"/>
        </w:rPr>
        <w:t>,</w:t>
      </w:r>
      <w:r w:rsidR="00C279BD">
        <w:rPr>
          <w:rFonts w:asciiTheme="majorHAnsi" w:hAnsiTheme="majorHAnsi" w:cstheme="minorHAnsi"/>
          <w:sz w:val="20"/>
          <w:szCs w:val="20"/>
          <w:lang w:val="en-US"/>
        </w:rPr>
        <w:t xml:space="preserve"> the very transition to 1.</w:t>
      </w:r>
      <w:r w:rsidR="000C1179">
        <w:rPr>
          <w:rFonts w:asciiTheme="majorHAnsi" w:hAnsiTheme="majorHAnsi" w:cstheme="minorHAnsi"/>
          <w:sz w:val="20"/>
          <w:szCs w:val="20"/>
          <w:lang w:val="en-US"/>
        </w:rPr>
        <w:t xml:space="preserve">5°C </w:t>
      </w:r>
      <w:r w:rsidR="00C279BD">
        <w:rPr>
          <w:rFonts w:asciiTheme="majorHAnsi" w:hAnsiTheme="majorHAnsi" w:cstheme="minorHAnsi"/>
          <w:sz w:val="20"/>
          <w:szCs w:val="20"/>
          <w:lang w:val="en-US"/>
        </w:rPr>
        <w:t xml:space="preserve">requires us to delineate </w:t>
      </w:r>
      <w:r w:rsidR="007410E5" w:rsidRPr="00E12A5A">
        <w:rPr>
          <w:rFonts w:asciiTheme="majorHAnsi" w:hAnsiTheme="majorHAnsi" w:cstheme="minorHAnsi"/>
          <w:sz w:val="20"/>
          <w:szCs w:val="20"/>
          <w:lang w:val="en-US"/>
        </w:rPr>
        <w:t xml:space="preserve">how finance flows are made consistent with new models </w:t>
      </w:r>
      <w:r w:rsidR="00C279BD">
        <w:rPr>
          <w:rFonts w:asciiTheme="majorHAnsi" w:hAnsiTheme="majorHAnsi" w:cstheme="minorHAnsi"/>
          <w:sz w:val="20"/>
          <w:szCs w:val="20"/>
          <w:lang w:val="en-US"/>
        </w:rPr>
        <w:t xml:space="preserve">of development </w:t>
      </w:r>
      <w:r w:rsidR="007410E5" w:rsidRPr="00E12A5A">
        <w:rPr>
          <w:rFonts w:asciiTheme="majorHAnsi" w:hAnsiTheme="majorHAnsi" w:cstheme="minorHAnsi"/>
          <w:sz w:val="20"/>
          <w:szCs w:val="20"/>
          <w:lang w:val="en-US"/>
        </w:rPr>
        <w:t>and</w:t>
      </w:r>
      <w:r w:rsidR="007410E5" w:rsidRPr="00E12A5A">
        <w:rPr>
          <w:rFonts w:asciiTheme="majorHAnsi" w:hAnsiTheme="majorHAnsi" w:cstheme="minorHAnsi"/>
          <w:sz w:val="20"/>
          <w:szCs w:val="20"/>
          <w:lang w:val="en-GB"/>
        </w:rPr>
        <w:t xml:space="preserve"> revamp the climate financing system, with an underlying strategy towards effectively stimulating accelerated prototyping </w:t>
      </w:r>
      <w:r w:rsidR="007410E5" w:rsidRPr="00E12A5A">
        <w:rPr>
          <w:rFonts w:asciiTheme="majorHAnsi" w:hAnsiTheme="majorHAnsi" w:cstheme="minorHAnsi"/>
          <w:sz w:val="20"/>
          <w:lang w:val="en-GB"/>
        </w:rPr>
        <w:t>and scaling of these new solutions capable of the kind of disruptive innovation urgently required, particularly in the developing world while favouring economic recovery options that are climate compatible.</w:t>
      </w:r>
    </w:p>
    <w:p w14:paraId="33A9538C" w14:textId="77777777" w:rsidR="00C279BD" w:rsidRDefault="00C279BD" w:rsidP="00283B06">
      <w:pPr>
        <w:pStyle w:val="Default"/>
        <w:jc w:val="both"/>
        <w:rPr>
          <w:rFonts w:asciiTheme="majorHAnsi" w:hAnsiTheme="majorHAnsi" w:cstheme="minorHAnsi"/>
          <w:sz w:val="20"/>
          <w:lang w:val="en-GB"/>
        </w:rPr>
      </w:pPr>
    </w:p>
    <w:p w14:paraId="0C4313FD" w14:textId="04556A5D" w:rsidR="00283B06" w:rsidRDefault="007410E5" w:rsidP="00E56302">
      <w:pPr>
        <w:pStyle w:val="Default"/>
        <w:jc w:val="both"/>
        <w:rPr>
          <w:rFonts w:asciiTheme="majorHAnsi" w:hAnsiTheme="majorHAnsi" w:cstheme="minorHAnsi"/>
          <w:sz w:val="20"/>
          <w:lang w:val="en-US"/>
        </w:rPr>
      </w:pPr>
      <w:r w:rsidRPr="00E12A5A">
        <w:rPr>
          <w:rFonts w:asciiTheme="majorHAnsi" w:hAnsiTheme="majorHAnsi" w:cstheme="minorHAnsi"/>
          <w:sz w:val="20"/>
          <w:lang w:val="en-GB"/>
        </w:rPr>
        <w:t xml:space="preserve">The climate crisis needs a system designed </w:t>
      </w:r>
      <w:r w:rsidRPr="00E12A5A">
        <w:rPr>
          <w:rFonts w:asciiTheme="majorHAnsi" w:hAnsiTheme="majorHAnsi" w:cstheme="minorHAnsi"/>
          <w:sz w:val="20"/>
          <w:lang w:val="en-US"/>
        </w:rPr>
        <w:t>to marshal the investment, financing, market and consumption choices of relevant stakeholders –governments, development finance institutions, commercial financial institutions, private equity, venture capital, infrastructure funds, institutional investors, credit rating agencies, corporate actors</w:t>
      </w:r>
      <w:r w:rsidR="00307163">
        <w:rPr>
          <w:rFonts w:asciiTheme="majorHAnsi" w:hAnsiTheme="majorHAnsi" w:cstheme="minorHAnsi"/>
          <w:sz w:val="20"/>
          <w:lang w:val="en-US"/>
        </w:rPr>
        <w:t xml:space="preserve"> </w:t>
      </w:r>
      <w:r w:rsidR="00307163" w:rsidRPr="00307163">
        <w:rPr>
          <w:rFonts w:asciiTheme="majorHAnsi" w:hAnsiTheme="majorHAnsi" w:cstheme="minorHAnsi"/>
          <w:sz w:val="20"/>
          <w:lang w:val="en-US"/>
        </w:rPr>
        <w:t>(</w:t>
      </w:r>
      <w:r w:rsidR="00307163" w:rsidRPr="00307163">
        <w:rPr>
          <w:rFonts w:asciiTheme="majorHAnsi" w:hAnsiTheme="majorHAnsi" w:cstheme="minorHAnsi"/>
          <w:sz w:val="20"/>
          <w:lang w:val="en-GB"/>
        </w:rPr>
        <w:t>banks, asset managers, pension funds, insurers, credit rating agencies, accounting firms, shareholder advisory services, enterprises</w:t>
      </w:r>
      <w:r w:rsidR="00307163" w:rsidRPr="00307163">
        <w:rPr>
          <w:rFonts w:asciiTheme="majorHAnsi" w:hAnsiTheme="majorHAnsi" w:cstheme="minorHAnsi"/>
          <w:sz w:val="20"/>
          <w:lang w:val="en-US"/>
        </w:rPr>
        <w:t>)</w:t>
      </w:r>
      <w:r w:rsidRPr="00E12A5A">
        <w:rPr>
          <w:rFonts w:asciiTheme="majorHAnsi" w:hAnsiTheme="majorHAnsi" w:cstheme="minorHAnsi"/>
          <w:sz w:val="20"/>
          <w:lang w:val="en-US"/>
        </w:rPr>
        <w:t>, households and project developers– to foster climate-compatible development pathways.</w:t>
      </w:r>
    </w:p>
    <w:p w14:paraId="4A4451A0" w14:textId="77777777" w:rsidR="00E56302" w:rsidRPr="00E56302" w:rsidRDefault="00E56302" w:rsidP="00E56302">
      <w:pPr>
        <w:pStyle w:val="Default"/>
        <w:jc w:val="both"/>
        <w:rPr>
          <w:rFonts w:asciiTheme="majorHAnsi" w:hAnsiTheme="majorHAnsi"/>
          <w:sz w:val="20"/>
          <w:szCs w:val="20"/>
          <w:lang w:val="en-GB"/>
        </w:rPr>
      </w:pPr>
    </w:p>
    <w:p w14:paraId="37C8959B" w14:textId="4CC6DECD" w:rsidR="00283B06" w:rsidRPr="00604C24" w:rsidRDefault="00283B06" w:rsidP="00213BC6">
      <w:pPr>
        <w:jc w:val="both"/>
        <w:rPr>
          <w:rFonts w:asciiTheme="majorHAnsi" w:hAnsiTheme="majorHAnsi" w:cstheme="minorHAnsi"/>
          <w:sz w:val="20"/>
          <w:lang w:val="en-US"/>
        </w:rPr>
      </w:pPr>
      <w:r w:rsidRPr="00604C24">
        <w:rPr>
          <w:rFonts w:asciiTheme="majorHAnsi" w:hAnsiTheme="majorHAnsi" w:cstheme="minorHAnsi"/>
          <w:sz w:val="20"/>
          <w:lang w:val="en-US"/>
        </w:rPr>
        <w:t>The 20</w:t>
      </w:r>
      <w:r>
        <w:rPr>
          <w:rFonts w:asciiTheme="majorHAnsi" w:hAnsiTheme="majorHAnsi" w:cstheme="minorHAnsi"/>
          <w:sz w:val="20"/>
          <w:lang w:val="en-US"/>
        </w:rPr>
        <w:t>20</w:t>
      </w:r>
      <w:r w:rsidRPr="00604C24">
        <w:rPr>
          <w:rFonts w:asciiTheme="majorHAnsi" w:hAnsiTheme="majorHAnsi" w:cstheme="minorHAnsi"/>
          <w:sz w:val="20"/>
          <w:lang w:val="en-US"/>
        </w:rPr>
        <w:t xml:space="preserve"> </w:t>
      </w:r>
      <w:r w:rsidR="001A237A">
        <w:rPr>
          <w:rFonts w:asciiTheme="majorHAnsi" w:hAnsiTheme="majorHAnsi" w:cstheme="minorHAnsi"/>
          <w:sz w:val="20"/>
          <w:lang w:val="en-US"/>
        </w:rPr>
        <w:t>Standing Committee on Finance (</w:t>
      </w:r>
      <w:r w:rsidRPr="00604C24">
        <w:rPr>
          <w:rFonts w:asciiTheme="majorHAnsi" w:hAnsiTheme="majorHAnsi" w:cstheme="minorHAnsi"/>
          <w:sz w:val="20"/>
          <w:lang w:val="en-US"/>
        </w:rPr>
        <w:t>SCF</w:t>
      </w:r>
      <w:r w:rsidR="001A237A">
        <w:rPr>
          <w:rFonts w:asciiTheme="majorHAnsi" w:hAnsiTheme="majorHAnsi" w:cstheme="minorHAnsi"/>
          <w:sz w:val="20"/>
          <w:lang w:val="en-US"/>
        </w:rPr>
        <w:t>)</w:t>
      </w:r>
      <w:r w:rsidRPr="00604C24">
        <w:rPr>
          <w:rFonts w:asciiTheme="majorHAnsi" w:hAnsiTheme="majorHAnsi" w:cstheme="minorHAnsi"/>
          <w:sz w:val="20"/>
          <w:lang w:val="en-US"/>
        </w:rPr>
        <w:t xml:space="preserve"> </w:t>
      </w:r>
      <w:r>
        <w:rPr>
          <w:rFonts w:asciiTheme="majorHAnsi" w:hAnsiTheme="majorHAnsi" w:cstheme="minorHAnsi"/>
          <w:sz w:val="20"/>
          <w:lang w:val="en-US"/>
        </w:rPr>
        <w:t xml:space="preserve">Biennial </w:t>
      </w:r>
      <w:r w:rsidRPr="00604C24">
        <w:rPr>
          <w:rFonts w:asciiTheme="majorHAnsi" w:hAnsiTheme="majorHAnsi" w:cstheme="minorHAnsi"/>
          <w:sz w:val="20"/>
          <w:lang w:val="en-US"/>
        </w:rPr>
        <w:t>Assessment Report estimates climate finance flows for 2017-2018 around USD 775 billion, out of which USD 48.7 billion are multilateral and bilateral financing</w:t>
      </w:r>
      <w:r w:rsidRPr="00604C24">
        <w:rPr>
          <w:rStyle w:val="FootnoteReference"/>
          <w:rFonts w:asciiTheme="majorHAnsi" w:hAnsiTheme="majorHAnsi" w:cstheme="minorHAnsi"/>
          <w:sz w:val="20"/>
          <w:lang w:val="en-US"/>
        </w:rPr>
        <w:footnoteReference w:id="1"/>
      </w:r>
      <w:r w:rsidRPr="00604C24">
        <w:rPr>
          <w:rFonts w:asciiTheme="majorHAnsi" w:hAnsiTheme="majorHAnsi" w:cstheme="minorHAnsi"/>
          <w:sz w:val="20"/>
          <w:lang w:val="en-US"/>
        </w:rPr>
        <w:t xml:space="preserve"> and only USD 14.5 billion have been destined to adaptation</w:t>
      </w:r>
      <w:r w:rsidRPr="00604C24">
        <w:rPr>
          <w:rStyle w:val="FootnoteReference"/>
          <w:rFonts w:asciiTheme="majorHAnsi" w:hAnsiTheme="majorHAnsi" w:cstheme="minorHAnsi"/>
          <w:sz w:val="20"/>
          <w:lang w:val="en-US"/>
        </w:rPr>
        <w:footnoteReference w:id="2"/>
      </w:r>
      <w:r w:rsidRPr="00604C24">
        <w:rPr>
          <w:rFonts w:asciiTheme="majorHAnsi" w:hAnsiTheme="majorHAnsi" w:cstheme="minorHAnsi"/>
          <w:sz w:val="20"/>
          <w:lang w:val="en-US"/>
        </w:rPr>
        <w:t>. Out of these figures, it is relevant to underline that the G</w:t>
      </w:r>
      <w:r w:rsidR="00F556ED">
        <w:rPr>
          <w:rFonts w:asciiTheme="majorHAnsi" w:hAnsiTheme="majorHAnsi" w:cstheme="minorHAnsi"/>
          <w:sz w:val="20"/>
          <w:lang w:val="en-US"/>
        </w:rPr>
        <w:t xml:space="preserve">reen </w:t>
      </w:r>
      <w:r w:rsidRPr="00604C24">
        <w:rPr>
          <w:rFonts w:asciiTheme="majorHAnsi" w:hAnsiTheme="majorHAnsi" w:cstheme="minorHAnsi"/>
          <w:sz w:val="20"/>
          <w:lang w:val="en-US"/>
        </w:rPr>
        <w:t>C</w:t>
      </w:r>
      <w:r w:rsidR="00F556ED">
        <w:rPr>
          <w:rFonts w:asciiTheme="majorHAnsi" w:hAnsiTheme="majorHAnsi" w:cstheme="minorHAnsi"/>
          <w:sz w:val="20"/>
          <w:lang w:val="en-US"/>
        </w:rPr>
        <w:t xml:space="preserve">limate </w:t>
      </w:r>
      <w:r w:rsidRPr="00604C24">
        <w:rPr>
          <w:rFonts w:asciiTheme="majorHAnsi" w:hAnsiTheme="majorHAnsi" w:cstheme="minorHAnsi"/>
          <w:sz w:val="20"/>
          <w:lang w:val="en-US"/>
        </w:rPr>
        <w:t>F</w:t>
      </w:r>
      <w:r w:rsidR="00F556ED">
        <w:rPr>
          <w:rFonts w:asciiTheme="majorHAnsi" w:hAnsiTheme="majorHAnsi" w:cstheme="minorHAnsi"/>
          <w:sz w:val="20"/>
          <w:lang w:val="en-US"/>
        </w:rPr>
        <w:t>und (GCF)</w:t>
      </w:r>
      <w:r w:rsidRPr="00604C24">
        <w:rPr>
          <w:rFonts w:asciiTheme="majorHAnsi" w:hAnsiTheme="majorHAnsi" w:cstheme="minorHAnsi"/>
          <w:sz w:val="20"/>
          <w:lang w:val="en-US"/>
        </w:rPr>
        <w:t xml:space="preserve">, the central piece of climate funding of the climate regime, </w:t>
      </w:r>
      <w:r w:rsidRPr="008E46E8">
        <w:rPr>
          <w:rFonts w:asciiTheme="majorHAnsi" w:hAnsiTheme="majorHAnsi" w:cstheme="minorHAnsi"/>
          <w:sz w:val="20"/>
          <w:lang w:val="en-US"/>
        </w:rPr>
        <w:t xml:space="preserve">has mobilized </w:t>
      </w:r>
      <w:r>
        <w:rPr>
          <w:rFonts w:asciiTheme="majorHAnsi" w:hAnsiTheme="majorHAnsi" w:cstheme="minorHAnsi"/>
          <w:sz w:val="20"/>
          <w:lang w:val="en-US"/>
        </w:rPr>
        <w:t xml:space="preserve">only </w:t>
      </w:r>
      <w:r w:rsidRPr="008E46E8">
        <w:rPr>
          <w:rFonts w:asciiTheme="majorHAnsi" w:hAnsiTheme="majorHAnsi" w:cstheme="minorHAnsi"/>
          <w:sz w:val="20"/>
          <w:lang w:val="en-US"/>
        </w:rPr>
        <w:t xml:space="preserve">a total of USD 27.2 billion as of 31 July 2021 </w:t>
      </w:r>
      <w:r>
        <w:rPr>
          <w:rFonts w:asciiTheme="majorHAnsi" w:hAnsiTheme="majorHAnsi" w:cstheme="minorHAnsi"/>
          <w:sz w:val="20"/>
          <w:lang w:val="en-US"/>
        </w:rPr>
        <w:t>(3.5% of global climate finance flows)</w:t>
      </w:r>
      <w:r w:rsidRPr="00982780">
        <w:rPr>
          <w:rFonts w:asciiTheme="majorHAnsi" w:hAnsiTheme="majorHAnsi" w:cstheme="minorHAnsi"/>
          <w:sz w:val="20"/>
          <w:lang w:val="en-US"/>
        </w:rPr>
        <w:t xml:space="preserve">. </w:t>
      </w:r>
      <w:r w:rsidR="00213BC6" w:rsidRPr="00213BC6">
        <w:rPr>
          <w:rFonts w:asciiTheme="majorHAnsi" w:hAnsiTheme="majorHAnsi" w:cstheme="minorHAnsi"/>
          <w:sz w:val="20"/>
          <w:lang w:val="en-US"/>
        </w:rPr>
        <w:t>F</w:t>
      </w:r>
      <w:r w:rsidRPr="00213BC6">
        <w:rPr>
          <w:rFonts w:asciiTheme="majorHAnsi" w:hAnsiTheme="majorHAnsi" w:cstheme="minorHAnsi"/>
          <w:sz w:val="20"/>
          <w:lang w:val="en-US"/>
        </w:rPr>
        <w:t>unding for adaptation remains largely insufficient,</w:t>
      </w:r>
      <w:r w:rsidRPr="00982780">
        <w:rPr>
          <w:rFonts w:asciiTheme="majorHAnsi" w:hAnsiTheme="majorHAnsi" w:cstheme="minorHAnsi"/>
          <w:sz w:val="20"/>
          <w:lang w:val="en-US"/>
        </w:rPr>
        <w:t xml:space="preserve"> and the World Bank points</w:t>
      </w:r>
      <w:r w:rsidRPr="00604C24">
        <w:rPr>
          <w:rFonts w:asciiTheme="majorHAnsi" w:hAnsiTheme="majorHAnsi" w:cstheme="minorHAnsi"/>
          <w:sz w:val="20"/>
          <w:lang w:val="en-US"/>
        </w:rPr>
        <w:t xml:space="preserve"> out that without adaptation and good development, climate change could force more than 100 million people into extreme poverty by 2030</w:t>
      </w:r>
      <w:r w:rsidRPr="00604C24">
        <w:rPr>
          <w:rStyle w:val="FootnoteReference"/>
          <w:rFonts w:asciiTheme="majorHAnsi" w:hAnsiTheme="majorHAnsi" w:cstheme="minorHAnsi"/>
          <w:sz w:val="20"/>
          <w:lang w:val="en-US"/>
        </w:rPr>
        <w:footnoteReference w:id="3"/>
      </w:r>
      <w:r w:rsidRPr="00604C24">
        <w:rPr>
          <w:rFonts w:asciiTheme="majorHAnsi" w:hAnsiTheme="majorHAnsi" w:cstheme="minorHAnsi"/>
          <w:sz w:val="20"/>
          <w:lang w:val="en-US"/>
        </w:rPr>
        <w:t xml:space="preserve">. The global poor -and with it the number of food insecure people- have been estimated to increase by at least 2% for any % point slowdown of the global economy derived from the current </w:t>
      </w:r>
      <w:r w:rsidRPr="00604C24">
        <w:rPr>
          <w:rFonts w:asciiTheme="majorHAnsi" w:hAnsiTheme="majorHAnsi" w:cstheme="minorHAnsi"/>
          <w:sz w:val="20"/>
          <w:lang w:val="en-US"/>
        </w:rPr>
        <w:lastRenderedPageBreak/>
        <w:t>health crisis</w:t>
      </w:r>
      <w:r w:rsidRPr="00604C24">
        <w:rPr>
          <w:rStyle w:val="FootnoteReference"/>
          <w:rFonts w:asciiTheme="majorHAnsi" w:hAnsiTheme="majorHAnsi" w:cstheme="minorHAnsi"/>
          <w:sz w:val="20"/>
          <w:lang w:val="en-US"/>
        </w:rPr>
        <w:footnoteReference w:id="4"/>
      </w:r>
      <w:r w:rsidRPr="00604C24">
        <w:rPr>
          <w:rFonts w:asciiTheme="majorHAnsi" w:hAnsiTheme="majorHAnsi" w:cstheme="minorHAnsi"/>
          <w:sz w:val="20"/>
          <w:lang w:val="en-US"/>
        </w:rPr>
        <w:t xml:space="preserve">. Moreover, </w:t>
      </w:r>
      <w:r w:rsidRPr="004B494E">
        <w:rPr>
          <w:rFonts w:asciiTheme="majorHAnsi" w:hAnsiTheme="majorHAnsi" w:cstheme="minorHAnsi"/>
          <w:sz w:val="20"/>
          <w:lang w:val="en-US"/>
        </w:rPr>
        <w:t>the OECD, the World Bank and UNEP estimate that USD 6.9 trillion a year is required up to 2030 to meet climate and development objectives</w:t>
      </w:r>
      <w:r w:rsidRPr="00604C24">
        <w:rPr>
          <w:rFonts w:asciiTheme="majorHAnsi" w:hAnsiTheme="majorHAnsi" w:cstheme="minorHAnsi"/>
          <w:sz w:val="20"/>
          <w:vertAlign w:val="superscript"/>
        </w:rPr>
        <w:footnoteReference w:id="5"/>
      </w:r>
      <w:r w:rsidRPr="00604C24">
        <w:rPr>
          <w:rFonts w:asciiTheme="majorHAnsi" w:hAnsiTheme="majorHAnsi" w:cstheme="minorHAnsi"/>
          <w:sz w:val="20"/>
          <w:lang w:val="en-US"/>
        </w:rPr>
        <w:t xml:space="preserve">. At the same time, </w:t>
      </w:r>
      <w:r>
        <w:rPr>
          <w:rFonts w:asciiTheme="majorHAnsi" w:hAnsiTheme="majorHAnsi" w:cstheme="minorHAnsi"/>
          <w:sz w:val="20"/>
          <w:lang w:val="en-US"/>
        </w:rPr>
        <w:t>the SCF calculat</w:t>
      </w:r>
      <w:r w:rsidRPr="00604C24">
        <w:rPr>
          <w:rFonts w:asciiTheme="majorHAnsi" w:hAnsiTheme="majorHAnsi" w:cstheme="minorHAnsi"/>
          <w:sz w:val="20"/>
          <w:lang w:val="en-US"/>
        </w:rPr>
        <w:t>e</w:t>
      </w:r>
      <w:r>
        <w:rPr>
          <w:rFonts w:asciiTheme="majorHAnsi" w:hAnsiTheme="majorHAnsi" w:cstheme="minorHAnsi"/>
          <w:sz w:val="20"/>
          <w:lang w:val="en-US"/>
        </w:rPr>
        <w:t>s</w:t>
      </w:r>
      <w:r w:rsidRPr="00604C24">
        <w:rPr>
          <w:rFonts w:asciiTheme="majorHAnsi" w:hAnsiTheme="majorHAnsi" w:cstheme="minorHAnsi"/>
          <w:sz w:val="20"/>
          <w:lang w:val="en-US"/>
        </w:rPr>
        <w:t xml:space="preserve"> that fossil fuel investments add up to USD 977 billion and fossil fuel subsidies to USD 472 billion per year</w:t>
      </w:r>
      <w:r w:rsidRPr="00604C24">
        <w:rPr>
          <w:rStyle w:val="FootnoteReference"/>
          <w:rFonts w:asciiTheme="majorHAnsi" w:hAnsiTheme="majorHAnsi" w:cstheme="minorHAnsi"/>
          <w:sz w:val="20"/>
          <w:lang w:val="en-US"/>
        </w:rPr>
        <w:footnoteReference w:id="6"/>
      </w:r>
      <w:r w:rsidRPr="00604C24">
        <w:rPr>
          <w:rFonts w:asciiTheme="majorHAnsi" w:hAnsiTheme="majorHAnsi" w:cstheme="minorHAnsi"/>
          <w:sz w:val="20"/>
          <w:lang w:val="en-US"/>
        </w:rPr>
        <w:t xml:space="preserve"> while losses from natural catastrophes amount to USD 339 billion</w:t>
      </w:r>
      <w:r w:rsidRPr="00604C24">
        <w:rPr>
          <w:rStyle w:val="FootnoteReference"/>
          <w:rFonts w:asciiTheme="majorHAnsi" w:hAnsiTheme="majorHAnsi" w:cstheme="minorHAnsi"/>
          <w:sz w:val="20"/>
          <w:lang w:val="en-US"/>
        </w:rPr>
        <w:footnoteReference w:id="7"/>
      </w:r>
      <w:r w:rsidRPr="00604C24">
        <w:rPr>
          <w:rFonts w:asciiTheme="majorHAnsi" w:hAnsiTheme="majorHAnsi" w:cstheme="minorHAnsi"/>
          <w:sz w:val="20"/>
          <w:lang w:val="en-US"/>
        </w:rPr>
        <w:t xml:space="preserve"> (Figure 1).</w:t>
      </w:r>
    </w:p>
    <w:p w14:paraId="25202989" w14:textId="77777777" w:rsidR="00283B06" w:rsidRPr="00604C24" w:rsidRDefault="00283B06" w:rsidP="00283B06">
      <w:pPr>
        <w:jc w:val="both"/>
        <w:rPr>
          <w:rFonts w:asciiTheme="majorHAnsi" w:hAnsiTheme="majorHAnsi" w:cstheme="minorHAnsi"/>
          <w:color w:val="3494BA" w:themeColor="accent1"/>
          <w:lang w:val="en-US"/>
        </w:rPr>
      </w:pPr>
      <w:r w:rsidRPr="00604C24">
        <w:rPr>
          <w:rFonts w:asciiTheme="majorHAnsi" w:hAnsiTheme="majorHAnsi" w:cstheme="minorHAnsi"/>
          <w:color w:val="3494BA" w:themeColor="accent1"/>
          <w:lang w:val="en-US"/>
        </w:rPr>
        <w:t xml:space="preserve">            </w:t>
      </w:r>
      <w:r w:rsidRPr="00604C24">
        <w:rPr>
          <w:rFonts w:asciiTheme="majorHAnsi" w:hAnsiTheme="majorHAnsi" w:cstheme="minorHAnsi"/>
          <w:noProof/>
          <w:color w:val="3494BA" w:themeColor="accent1"/>
          <w:lang w:val="es-PE" w:eastAsia="es-PE"/>
        </w:rPr>
        <w:drawing>
          <wp:inline distT="0" distB="0" distL="0" distR="0" wp14:anchorId="014999DD" wp14:editId="7FA061E3">
            <wp:extent cx="4915798" cy="2883907"/>
            <wp:effectExtent l="0" t="0" r="37465" b="12636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DE63885" w14:textId="77777777" w:rsidR="00283B06" w:rsidRDefault="00283B06" w:rsidP="000671D4">
      <w:pPr>
        <w:spacing w:after="0" w:line="240" w:lineRule="auto"/>
        <w:jc w:val="both"/>
        <w:rPr>
          <w:rFonts w:asciiTheme="majorHAnsi" w:hAnsiTheme="majorHAnsi" w:cstheme="minorHAnsi"/>
          <w:color w:val="3494BA" w:themeColor="accent1"/>
          <w:sz w:val="20"/>
          <w:lang w:val="en-US"/>
        </w:rPr>
      </w:pPr>
      <w:r w:rsidRPr="00604C24">
        <w:rPr>
          <w:rFonts w:asciiTheme="majorHAnsi" w:hAnsiTheme="majorHAnsi" w:cstheme="minorHAnsi"/>
          <w:color w:val="3494BA" w:themeColor="accent1"/>
          <w:sz w:val="20"/>
          <w:lang w:val="en-US"/>
        </w:rPr>
        <w:t>Figure 1. Net Climate Finance</w:t>
      </w:r>
    </w:p>
    <w:p w14:paraId="507165EA" w14:textId="2E31C7E0" w:rsidR="00283B06" w:rsidRPr="0035216C" w:rsidRDefault="00283B06" w:rsidP="000671D4">
      <w:pPr>
        <w:spacing w:after="0" w:line="240" w:lineRule="auto"/>
        <w:jc w:val="both"/>
        <w:rPr>
          <w:rFonts w:asciiTheme="majorHAnsi" w:hAnsiTheme="majorHAnsi" w:cstheme="minorHAnsi"/>
          <w:i/>
          <w:iCs/>
          <w:color w:val="3494BA" w:themeColor="accent1"/>
          <w:sz w:val="16"/>
          <w:szCs w:val="16"/>
          <w:lang w:val="en-US"/>
        </w:rPr>
      </w:pPr>
      <w:r w:rsidRPr="00404664">
        <w:rPr>
          <w:rFonts w:asciiTheme="majorHAnsi" w:hAnsiTheme="majorHAnsi" w:cstheme="minorHAnsi"/>
          <w:color w:val="3494BA" w:themeColor="accent1"/>
          <w:sz w:val="16"/>
          <w:szCs w:val="16"/>
          <w:lang w:val="en-US"/>
        </w:rPr>
        <w:t xml:space="preserve">Sources: </w:t>
      </w:r>
      <w:r w:rsidRPr="0035216C">
        <w:rPr>
          <w:rFonts w:asciiTheme="majorHAnsi" w:hAnsiTheme="majorHAnsi" w:cstheme="minorHAnsi"/>
          <w:i/>
          <w:iCs/>
          <w:color w:val="3494BA" w:themeColor="accent1"/>
          <w:sz w:val="16"/>
          <w:szCs w:val="16"/>
          <w:lang w:val="en-US"/>
        </w:rPr>
        <w:t>2018 &amp; 2020 SCF Biennial Assessment and Overview of Climate Financial Flows</w:t>
      </w:r>
    </w:p>
    <w:p w14:paraId="327BDB53" w14:textId="77777777" w:rsidR="000671D4" w:rsidRDefault="000671D4" w:rsidP="00283B06">
      <w:pPr>
        <w:widowControl w:val="0"/>
        <w:autoSpaceDE w:val="0"/>
        <w:autoSpaceDN w:val="0"/>
        <w:adjustRightInd w:val="0"/>
        <w:jc w:val="both"/>
        <w:rPr>
          <w:rFonts w:asciiTheme="majorHAnsi" w:hAnsiTheme="majorHAnsi" w:cstheme="minorHAnsi"/>
          <w:sz w:val="20"/>
          <w:lang w:val="en-US"/>
        </w:rPr>
      </w:pPr>
    </w:p>
    <w:p w14:paraId="295F9687" w14:textId="045E35EB" w:rsidR="00283B06" w:rsidRDefault="00283B06" w:rsidP="00283B06">
      <w:pPr>
        <w:widowControl w:val="0"/>
        <w:autoSpaceDE w:val="0"/>
        <w:autoSpaceDN w:val="0"/>
        <w:adjustRightInd w:val="0"/>
        <w:jc w:val="both"/>
        <w:rPr>
          <w:rFonts w:asciiTheme="majorHAnsi" w:hAnsiTheme="majorHAnsi" w:cstheme="minorHAnsi"/>
          <w:sz w:val="20"/>
          <w:lang w:val="en-US"/>
        </w:rPr>
      </w:pPr>
      <w:r>
        <w:rPr>
          <w:rFonts w:asciiTheme="majorHAnsi" w:hAnsiTheme="majorHAnsi" w:cstheme="minorHAnsi"/>
          <w:sz w:val="20"/>
          <w:lang w:val="en-US"/>
        </w:rPr>
        <w:t>C</w:t>
      </w:r>
      <w:r w:rsidRPr="00604C24">
        <w:rPr>
          <w:rFonts w:asciiTheme="majorHAnsi" w:hAnsiTheme="majorHAnsi" w:cstheme="minorHAnsi"/>
          <w:sz w:val="20"/>
          <w:lang w:val="en-US"/>
        </w:rPr>
        <w:t xml:space="preserve">urrent financial flows </w:t>
      </w:r>
      <w:r>
        <w:rPr>
          <w:rFonts w:asciiTheme="majorHAnsi" w:hAnsiTheme="majorHAnsi" w:cstheme="minorHAnsi"/>
          <w:sz w:val="20"/>
          <w:lang w:val="en-US"/>
        </w:rPr>
        <w:t xml:space="preserve">show </w:t>
      </w:r>
      <w:r w:rsidRPr="00604C24">
        <w:rPr>
          <w:rFonts w:asciiTheme="majorHAnsi" w:hAnsiTheme="majorHAnsi" w:cstheme="minorHAnsi"/>
          <w:sz w:val="20"/>
          <w:lang w:val="en-US"/>
        </w:rPr>
        <w:t xml:space="preserve">a very unbalanced picture, one that illustrates that for addressing climate change, it does not suffice to scale up climate funding, rather a more </w:t>
      </w:r>
      <w:r w:rsidRPr="00604C24">
        <w:rPr>
          <w:rFonts w:asciiTheme="majorHAnsi" w:hAnsiTheme="majorHAnsi" w:cstheme="minorHAnsi"/>
          <w:b/>
          <w:sz w:val="20"/>
          <w:lang w:val="en-US"/>
        </w:rPr>
        <w:t>comprehensive approach of net climate finance</w:t>
      </w:r>
      <w:r w:rsidRPr="00604C24">
        <w:rPr>
          <w:rFonts w:asciiTheme="majorHAnsi" w:hAnsiTheme="majorHAnsi" w:cstheme="minorHAnsi"/>
          <w:vertAlign w:val="superscript"/>
          <w:lang w:val="en-US"/>
        </w:rPr>
        <w:footnoteReference w:id="8"/>
      </w:r>
      <w:r w:rsidRPr="00604C24">
        <w:rPr>
          <w:rFonts w:asciiTheme="majorHAnsi" w:hAnsiTheme="majorHAnsi" w:cstheme="minorHAnsi"/>
          <w:sz w:val="20"/>
          <w:lang w:val="en-GB"/>
        </w:rPr>
        <w:t xml:space="preserve"> </w:t>
      </w:r>
      <w:r>
        <w:rPr>
          <w:rFonts w:asciiTheme="majorHAnsi" w:hAnsiTheme="majorHAnsi" w:cstheme="minorHAnsi"/>
          <w:sz w:val="20"/>
          <w:lang w:val="en-GB"/>
        </w:rPr>
        <w:t>(</w:t>
      </w:r>
      <w:r w:rsidRPr="00FA2322">
        <w:rPr>
          <w:rFonts w:asciiTheme="majorHAnsi" w:hAnsiTheme="majorHAnsi" w:cstheme="minorHAnsi"/>
          <w:sz w:val="20"/>
          <w:lang w:val="en-US"/>
        </w:rPr>
        <w:t>the value of climate finance flows minus financial flows to high-emissions and maladaptive activities</w:t>
      </w:r>
      <w:r>
        <w:rPr>
          <w:rFonts w:asciiTheme="majorHAnsi" w:hAnsiTheme="majorHAnsi" w:cstheme="minorHAnsi"/>
          <w:sz w:val="20"/>
          <w:lang w:val="en-GB"/>
        </w:rPr>
        <w:t xml:space="preserve">) </w:t>
      </w:r>
      <w:r w:rsidRPr="00604C24">
        <w:rPr>
          <w:rFonts w:asciiTheme="majorHAnsi" w:hAnsiTheme="majorHAnsi" w:cstheme="minorHAnsi"/>
          <w:sz w:val="20"/>
          <w:lang w:val="en-US"/>
        </w:rPr>
        <w:t xml:space="preserve">would be desirable so as to gradually eliminate financing and investments towards fossil fuels </w:t>
      </w:r>
      <w:r>
        <w:rPr>
          <w:rFonts w:asciiTheme="majorHAnsi" w:hAnsiTheme="majorHAnsi" w:cstheme="minorHAnsi"/>
          <w:sz w:val="20"/>
          <w:lang w:val="en-US"/>
        </w:rPr>
        <w:t>– in accordance with the latest decision made by the CMA in Glasgow “to phase out inefficient fossil fuel subsidies”</w:t>
      </w:r>
      <w:r>
        <w:rPr>
          <w:rStyle w:val="FootnoteReference"/>
          <w:rFonts w:asciiTheme="majorHAnsi" w:hAnsiTheme="majorHAnsi" w:cstheme="minorHAnsi"/>
          <w:sz w:val="20"/>
          <w:lang w:val="en-US"/>
        </w:rPr>
        <w:footnoteReference w:id="9"/>
      </w:r>
      <w:r>
        <w:rPr>
          <w:rFonts w:asciiTheme="majorHAnsi" w:hAnsiTheme="majorHAnsi" w:cstheme="minorHAnsi"/>
          <w:sz w:val="20"/>
          <w:lang w:val="en-US"/>
        </w:rPr>
        <w:t xml:space="preserve">- </w:t>
      </w:r>
      <w:r w:rsidR="00213BC6">
        <w:rPr>
          <w:rFonts w:asciiTheme="majorHAnsi" w:hAnsiTheme="majorHAnsi" w:cstheme="minorHAnsi"/>
          <w:sz w:val="20"/>
          <w:lang w:val="en-US"/>
        </w:rPr>
        <w:t xml:space="preserve">and high-emissions activities; </w:t>
      </w:r>
      <w:r w:rsidRPr="00604C24">
        <w:rPr>
          <w:rFonts w:asciiTheme="majorHAnsi" w:hAnsiTheme="majorHAnsi" w:cstheme="minorHAnsi"/>
          <w:sz w:val="20"/>
          <w:lang w:val="en-US"/>
        </w:rPr>
        <w:t>and lead to avoiding locking in, while low-emission technologies receive a sustained increase in financing and just transition policies are put into work</w:t>
      </w:r>
      <w:r>
        <w:rPr>
          <w:rStyle w:val="FootnoteReference"/>
          <w:rFonts w:asciiTheme="majorHAnsi" w:hAnsiTheme="majorHAnsi" w:cstheme="minorHAnsi"/>
          <w:sz w:val="20"/>
          <w:lang w:val="en-US"/>
        </w:rPr>
        <w:footnoteReference w:id="10"/>
      </w:r>
      <w:r w:rsidRPr="00604C24">
        <w:rPr>
          <w:rFonts w:asciiTheme="majorHAnsi" w:hAnsiTheme="majorHAnsi" w:cstheme="minorHAnsi"/>
          <w:sz w:val="20"/>
          <w:lang w:val="en-US"/>
        </w:rPr>
        <w:t>.</w:t>
      </w:r>
      <w:r>
        <w:rPr>
          <w:rFonts w:asciiTheme="majorHAnsi" w:hAnsiTheme="majorHAnsi" w:cstheme="minorHAnsi"/>
          <w:sz w:val="20"/>
          <w:lang w:val="en-US"/>
        </w:rPr>
        <w:t xml:space="preserve"> It also means divesting from activities that create or increase physical risks to communities and society, and proactively supporting or incentivizing activities that directly help adaptation and resilience or enable more climate-resilient development</w:t>
      </w:r>
      <w:r>
        <w:rPr>
          <w:rStyle w:val="FootnoteReference"/>
          <w:rFonts w:asciiTheme="majorHAnsi" w:hAnsiTheme="majorHAnsi" w:cstheme="minorHAnsi"/>
          <w:sz w:val="20"/>
          <w:lang w:val="en-US"/>
        </w:rPr>
        <w:footnoteReference w:id="11"/>
      </w:r>
      <w:r>
        <w:rPr>
          <w:rFonts w:asciiTheme="majorHAnsi" w:hAnsiTheme="majorHAnsi" w:cstheme="minorHAnsi"/>
          <w:sz w:val="20"/>
          <w:lang w:val="en-US"/>
        </w:rPr>
        <w:t>.</w:t>
      </w:r>
      <w:r w:rsidRPr="00604C24">
        <w:rPr>
          <w:rFonts w:asciiTheme="majorHAnsi" w:hAnsiTheme="majorHAnsi" w:cstheme="minorHAnsi"/>
          <w:sz w:val="20"/>
          <w:lang w:val="en-US"/>
        </w:rPr>
        <w:t xml:space="preserve"> In essence, it is necessary to pursue to transition to what has been called Paris-aligned development cooperation (i.e. that does not undermine the Paris Agreement but rather contributes to the required transformation, that catalyzes countries’ transitions to </w:t>
      </w:r>
      <w:r w:rsidRPr="00604C24">
        <w:rPr>
          <w:rFonts w:asciiTheme="majorHAnsi" w:hAnsiTheme="majorHAnsi" w:cstheme="minorHAnsi"/>
          <w:sz w:val="20"/>
          <w:lang w:val="en-US"/>
        </w:rPr>
        <w:lastRenderedPageBreak/>
        <w:t>low-emissions, climate-resilient pathways, that supports the short- and long-term processes under the Paris Agreement and that proactively responds to evidence and opportunities to address needs in developing countries)</w:t>
      </w:r>
      <w:r w:rsidRPr="00604C24">
        <w:rPr>
          <w:rStyle w:val="FootnoteReference"/>
          <w:rFonts w:asciiTheme="majorHAnsi" w:hAnsiTheme="majorHAnsi" w:cstheme="minorHAnsi"/>
          <w:sz w:val="20"/>
          <w:lang w:val="en-US"/>
        </w:rPr>
        <w:footnoteReference w:id="12"/>
      </w:r>
      <w:r w:rsidRPr="00604C24">
        <w:rPr>
          <w:rFonts w:asciiTheme="majorHAnsi" w:hAnsiTheme="majorHAnsi" w:cstheme="minorHAnsi"/>
          <w:sz w:val="20"/>
          <w:lang w:val="en-US"/>
        </w:rPr>
        <w:t>.</w:t>
      </w:r>
    </w:p>
    <w:p w14:paraId="40157482" w14:textId="2D472AE0" w:rsidR="003765C1" w:rsidRDefault="00283B06" w:rsidP="0035216C">
      <w:pPr>
        <w:jc w:val="both"/>
        <w:rPr>
          <w:rFonts w:asciiTheme="majorHAnsi" w:hAnsiTheme="majorHAnsi" w:cstheme="minorHAnsi"/>
          <w:sz w:val="20"/>
          <w:lang w:val="en-US"/>
        </w:rPr>
      </w:pPr>
      <w:r w:rsidRPr="00E745A2">
        <w:rPr>
          <w:rFonts w:asciiTheme="majorHAnsi" w:hAnsiTheme="majorHAnsi" w:cstheme="majorHAnsi"/>
          <w:color w:val="000000" w:themeColor="text1"/>
          <w:sz w:val="20"/>
          <w:szCs w:val="20"/>
          <w:lang w:val="en-US"/>
        </w:rPr>
        <w:t xml:space="preserve">Now, </w:t>
      </w:r>
      <w:r w:rsidRPr="00E745A2">
        <w:rPr>
          <w:rFonts w:asciiTheme="majorHAnsi" w:hAnsiTheme="majorHAnsi" w:cstheme="minorHAnsi"/>
          <w:sz w:val="20"/>
          <w:lang w:val="en-US"/>
        </w:rPr>
        <w:t>besides applying an approach of net climate finance</w:t>
      </w:r>
      <w:r w:rsidR="00E56302" w:rsidRPr="00E745A2">
        <w:rPr>
          <w:rFonts w:asciiTheme="majorHAnsi" w:hAnsiTheme="majorHAnsi" w:cstheme="minorHAnsi"/>
          <w:sz w:val="20"/>
          <w:lang w:val="en-US"/>
        </w:rPr>
        <w:t xml:space="preserve"> to overall financial flows and in looking for approaches and guidelines for the implementation of Article 2.1c, AILAC considers necessary for </w:t>
      </w:r>
      <w:r w:rsidRPr="00E745A2">
        <w:rPr>
          <w:rFonts w:asciiTheme="majorHAnsi" w:hAnsiTheme="majorHAnsi" w:cstheme="minorHAnsi"/>
          <w:sz w:val="20"/>
          <w:lang w:val="en-US"/>
        </w:rPr>
        <w:t xml:space="preserve">the </w:t>
      </w:r>
      <w:r w:rsidR="00E56302" w:rsidRPr="00E745A2">
        <w:rPr>
          <w:rFonts w:asciiTheme="majorHAnsi" w:hAnsiTheme="majorHAnsi" w:cstheme="minorHAnsi"/>
          <w:sz w:val="20"/>
          <w:lang w:val="en-US"/>
        </w:rPr>
        <w:t xml:space="preserve">UNFCCC </w:t>
      </w:r>
      <w:r w:rsidRPr="00E745A2">
        <w:rPr>
          <w:rFonts w:asciiTheme="majorHAnsi" w:hAnsiTheme="majorHAnsi" w:cstheme="minorHAnsi"/>
          <w:sz w:val="20"/>
          <w:lang w:val="en-US"/>
        </w:rPr>
        <w:t>multilateral regime</w:t>
      </w:r>
      <w:r w:rsidR="00E56302" w:rsidRPr="00E745A2">
        <w:rPr>
          <w:rFonts w:asciiTheme="majorHAnsi" w:hAnsiTheme="majorHAnsi" w:cstheme="minorHAnsi"/>
          <w:sz w:val="20"/>
          <w:lang w:val="en-US"/>
        </w:rPr>
        <w:t xml:space="preserve"> to</w:t>
      </w:r>
      <w:r w:rsidRPr="00E745A2">
        <w:rPr>
          <w:rFonts w:asciiTheme="majorHAnsi" w:hAnsiTheme="majorHAnsi" w:cstheme="minorHAnsi"/>
          <w:sz w:val="20"/>
          <w:lang w:val="en-US"/>
        </w:rPr>
        <w:t xml:space="preserve"> provide a global framework for finance flows climate consistency</w:t>
      </w:r>
      <w:r w:rsidR="0035216C" w:rsidRPr="00E745A2">
        <w:rPr>
          <w:rFonts w:asciiTheme="majorHAnsi" w:hAnsiTheme="majorHAnsi" w:cstheme="minorHAnsi"/>
          <w:sz w:val="20"/>
          <w:lang w:val="en-US"/>
        </w:rPr>
        <w:t>. It is argued that accountability under the Paris Agreement will fall upon governments, thus there must be a focus on the levers that public actors create for finance flows, both public and private, by generating incentives and disincentives</w:t>
      </w:r>
      <w:r w:rsidR="003765C1" w:rsidRPr="00E745A2">
        <w:rPr>
          <w:rStyle w:val="FootnoteReference"/>
          <w:rFonts w:asciiTheme="majorHAnsi" w:hAnsiTheme="majorHAnsi" w:cstheme="minorHAnsi"/>
          <w:sz w:val="20"/>
          <w:lang w:val="en-US"/>
        </w:rPr>
        <w:footnoteReference w:id="13"/>
      </w:r>
      <w:r w:rsidR="0035216C" w:rsidRPr="00E745A2">
        <w:rPr>
          <w:rFonts w:asciiTheme="majorHAnsi" w:hAnsiTheme="majorHAnsi" w:cstheme="minorHAnsi"/>
          <w:sz w:val="20"/>
          <w:lang w:val="en-US"/>
        </w:rPr>
        <w:t>, as presented in Table 1</w:t>
      </w:r>
      <w:r w:rsidR="003765C1" w:rsidRPr="00E745A2">
        <w:rPr>
          <w:rStyle w:val="FootnoteReference"/>
          <w:rFonts w:asciiTheme="majorHAnsi" w:hAnsiTheme="majorHAnsi" w:cstheme="minorHAnsi"/>
          <w:sz w:val="20"/>
          <w:lang w:val="en-US"/>
        </w:rPr>
        <w:footnoteReference w:id="14"/>
      </w:r>
      <w:r w:rsidR="0035216C" w:rsidRPr="00E745A2">
        <w:rPr>
          <w:rFonts w:asciiTheme="majorHAnsi" w:hAnsiTheme="majorHAnsi" w:cstheme="minorHAnsi"/>
          <w:sz w:val="20"/>
          <w:lang w:val="en-US"/>
        </w:rPr>
        <w:t xml:space="preserve">. It </w:t>
      </w:r>
      <w:r w:rsidR="00E745A2" w:rsidRPr="00E745A2">
        <w:rPr>
          <w:rFonts w:asciiTheme="majorHAnsi" w:hAnsiTheme="majorHAnsi" w:cstheme="minorHAnsi"/>
          <w:sz w:val="20"/>
          <w:lang w:val="en-US"/>
        </w:rPr>
        <w:t>is</w:t>
      </w:r>
      <w:r w:rsidR="0035216C" w:rsidRPr="00E745A2">
        <w:rPr>
          <w:rFonts w:asciiTheme="majorHAnsi" w:hAnsiTheme="majorHAnsi" w:cstheme="minorHAnsi"/>
          <w:sz w:val="20"/>
          <w:lang w:val="en-US"/>
        </w:rPr>
        <w:t xml:space="preserve"> also true that the Paris Agreement</w:t>
      </w:r>
      <w:r w:rsidR="00E745A2" w:rsidRPr="00E745A2">
        <w:rPr>
          <w:rFonts w:asciiTheme="majorHAnsi" w:hAnsiTheme="majorHAnsi" w:cstheme="minorHAnsi"/>
          <w:sz w:val="20"/>
          <w:lang w:val="en-US"/>
        </w:rPr>
        <w:t xml:space="preserve"> characterized as</w:t>
      </w:r>
      <w:r w:rsidR="0035216C" w:rsidRPr="00E745A2">
        <w:rPr>
          <w:rFonts w:asciiTheme="majorHAnsi" w:hAnsiTheme="majorHAnsi" w:cstheme="minorHAnsi"/>
          <w:sz w:val="20"/>
          <w:lang w:val="en-US"/>
        </w:rPr>
        <w:t xml:space="preserve"> international law</w:t>
      </w:r>
      <w:r w:rsidR="003765C1" w:rsidRPr="00E745A2">
        <w:rPr>
          <w:rFonts w:asciiTheme="majorHAnsi" w:hAnsiTheme="majorHAnsi" w:cstheme="minorHAnsi"/>
          <w:sz w:val="20"/>
          <w:lang w:val="en-US"/>
        </w:rPr>
        <w:t xml:space="preserve"> that has been</w:t>
      </w:r>
      <w:r w:rsidR="0035216C" w:rsidRPr="00E745A2">
        <w:rPr>
          <w:rFonts w:asciiTheme="majorHAnsi" w:hAnsiTheme="majorHAnsi" w:cstheme="minorHAnsi"/>
          <w:sz w:val="20"/>
          <w:lang w:val="en-US"/>
        </w:rPr>
        <w:t xml:space="preserve"> translated into national law through the respective processes of ratification of the Agreement</w:t>
      </w:r>
      <w:r w:rsidR="00E745A2" w:rsidRPr="00E745A2">
        <w:rPr>
          <w:rFonts w:asciiTheme="majorHAnsi" w:hAnsiTheme="majorHAnsi" w:cstheme="minorHAnsi"/>
          <w:sz w:val="20"/>
          <w:lang w:val="en-US"/>
        </w:rPr>
        <w:t xml:space="preserve"> in 193 countries</w:t>
      </w:r>
      <w:r w:rsidR="0035216C" w:rsidRPr="00E745A2">
        <w:rPr>
          <w:rFonts w:asciiTheme="majorHAnsi" w:hAnsiTheme="majorHAnsi" w:cstheme="minorHAnsi"/>
          <w:sz w:val="20"/>
          <w:lang w:val="en-US"/>
        </w:rPr>
        <w:t>, also oblige</w:t>
      </w:r>
      <w:r w:rsidR="00E745A2" w:rsidRPr="00E745A2">
        <w:rPr>
          <w:rFonts w:asciiTheme="majorHAnsi" w:hAnsiTheme="majorHAnsi" w:cstheme="minorHAnsi"/>
          <w:sz w:val="20"/>
          <w:lang w:val="en-US"/>
        </w:rPr>
        <w:t>s</w:t>
      </w:r>
      <w:r w:rsidR="0035216C" w:rsidRPr="00E745A2">
        <w:rPr>
          <w:rFonts w:asciiTheme="majorHAnsi" w:hAnsiTheme="majorHAnsi" w:cstheme="minorHAnsi"/>
          <w:sz w:val="20"/>
          <w:lang w:val="en-US"/>
        </w:rPr>
        <w:t xml:space="preserve"> different stakeholders to its accomplishment, </w:t>
      </w:r>
      <w:r w:rsidR="003765C1" w:rsidRPr="00E745A2">
        <w:rPr>
          <w:rFonts w:asciiTheme="majorHAnsi" w:hAnsiTheme="majorHAnsi" w:cstheme="minorHAnsi"/>
          <w:sz w:val="20"/>
          <w:lang w:val="en-US"/>
        </w:rPr>
        <w:t>hence</w:t>
      </w:r>
      <w:r w:rsidR="0035216C" w:rsidRPr="00E745A2">
        <w:rPr>
          <w:rFonts w:asciiTheme="majorHAnsi" w:hAnsiTheme="majorHAnsi" w:cstheme="minorHAnsi"/>
          <w:sz w:val="20"/>
          <w:lang w:val="en-US"/>
        </w:rPr>
        <w:t xml:space="preserve"> the full implementation of Article 2.1c</w:t>
      </w:r>
      <w:r w:rsidR="00592800" w:rsidRPr="00E745A2">
        <w:rPr>
          <w:rFonts w:asciiTheme="majorHAnsi" w:hAnsiTheme="majorHAnsi" w:cstheme="minorHAnsi"/>
          <w:sz w:val="20"/>
          <w:lang w:val="en-US"/>
        </w:rPr>
        <w:t xml:space="preserve"> must be</w:t>
      </w:r>
      <w:r w:rsidR="0035216C" w:rsidRPr="00E745A2">
        <w:rPr>
          <w:rFonts w:asciiTheme="majorHAnsi" w:hAnsiTheme="majorHAnsi" w:cstheme="minorHAnsi"/>
          <w:sz w:val="20"/>
          <w:lang w:val="en-US"/>
        </w:rPr>
        <w:t xml:space="preserve"> directed </w:t>
      </w:r>
      <w:r w:rsidR="003765C1" w:rsidRPr="00E745A2">
        <w:rPr>
          <w:rFonts w:asciiTheme="majorHAnsi" w:hAnsiTheme="majorHAnsi" w:cstheme="minorHAnsi"/>
          <w:sz w:val="20"/>
          <w:lang w:val="en-US"/>
        </w:rPr>
        <w:t xml:space="preserve">too </w:t>
      </w:r>
      <w:r w:rsidR="0035216C" w:rsidRPr="00E745A2">
        <w:rPr>
          <w:rFonts w:asciiTheme="majorHAnsi" w:hAnsiTheme="majorHAnsi" w:cstheme="minorHAnsi"/>
          <w:sz w:val="20"/>
          <w:lang w:val="en-US"/>
        </w:rPr>
        <w:t>to all stakeholders in the financial sector.</w:t>
      </w:r>
    </w:p>
    <w:p w14:paraId="028EE81A" w14:textId="77777777" w:rsidR="0035216C" w:rsidRDefault="0035216C" w:rsidP="0035216C">
      <w:pPr>
        <w:jc w:val="both"/>
        <w:rPr>
          <w:rFonts w:asciiTheme="majorHAnsi" w:hAnsiTheme="majorHAnsi" w:cstheme="minorHAnsi"/>
          <w:sz w:val="20"/>
          <w:highlight w:val="yellow"/>
          <w:lang w:val="en-US"/>
        </w:rPr>
      </w:pPr>
      <w:r w:rsidRPr="006248C2">
        <w:rPr>
          <w:rFonts w:ascii="Times New Roman" w:hAnsi="Times New Roman" w:cs="Times New Roman"/>
          <w:noProof/>
          <w:lang w:val="es-PE" w:eastAsia="es-PE"/>
        </w:rPr>
        <w:drawing>
          <wp:inline distT="0" distB="0" distL="0" distR="0" wp14:anchorId="598651A3" wp14:editId="10F6C165">
            <wp:extent cx="5612130" cy="2436360"/>
            <wp:effectExtent l="0" t="0" r="1270" b="2540"/>
            <wp:docPr id="7" name="Picture 1">
              <a:extLst xmlns:a="http://schemas.openxmlformats.org/drawingml/2006/main">
                <a:ext uri="{FF2B5EF4-FFF2-40B4-BE49-F238E27FC236}">
                  <a16:creationId xmlns:a16="http://schemas.microsoft.com/office/drawing/2014/main" id="{688FBF81-E15A-49DA-A6DF-5A655DA3B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88FBF81-E15A-49DA-A6DF-5A655DA3BC50}"/>
                        </a:ext>
                      </a:extLst>
                    </pic:cNvPr>
                    <pic:cNvPicPr>
                      <a:picLocks noChangeAspect="1"/>
                    </pic:cNvPicPr>
                  </pic:nvPicPr>
                  <pic:blipFill>
                    <a:blip r:embed="rId13"/>
                    <a:stretch>
                      <a:fillRect/>
                    </a:stretch>
                  </pic:blipFill>
                  <pic:spPr>
                    <a:xfrm>
                      <a:off x="0" y="0"/>
                      <a:ext cx="5612130" cy="2436360"/>
                    </a:xfrm>
                    <a:prstGeom prst="rect">
                      <a:avLst/>
                    </a:prstGeom>
                  </pic:spPr>
                </pic:pic>
              </a:graphicData>
            </a:graphic>
          </wp:inline>
        </w:drawing>
      </w:r>
    </w:p>
    <w:p w14:paraId="6C4446A4" w14:textId="77777777" w:rsidR="0035216C" w:rsidRPr="0035216C" w:rsidRDefault="0035216C" w:rsidP="00592800">
      <w:pPr>
        <w:spacing w:after="0" w:line="240" w:lineRule="auto"/>
        <w:jc w:val="both"/>
        <w:rPr>
          <w:rFonts w:asciiTheme="majorHAnsi" w:hAnsiTheme="majorHAnsi" w:cstheme="minorHAnsi"/>
          <w:color w:val="3494BA" w:themeColor="accent1"/>
          <w:sz w:val="20"/>
          <w:lang w:val="en-US"/>
        </w:rPr>
      </w:pPr>
      <w:r w:rsidRPr="0035216C">
        <w:rPr>
          <w:rFonts w:asciiTheme="majorHAnsi" w:hAnsiTheme="majorHAnsi" w:cstheme="minorHAnsi"/>
          <w:color w:val="3494BA" w:themeColor="accent1"/>
          <w:sz w:val="20"/>
          <w:lang w:val="en-US"/>
        </w:rPr>
        <w:t>Table 1. Government-led tools to encourage the consistency of finance flows with climate ambitions</w:t>
      </w:r>
    </w:p>
    <w:p w14:paraId="64776DDE" w14:textId="050B7DCD" w:rsidR="0035216C" w:rsidRDefault="0035216C" w:rsidP="00592800">
      <w:pPr>
        <w:keepNext/>
        <w:spacing w:after="0" w:line="240" w:lineRule="auto"/>
        <w:jc w:val="both"/>
        <w:rPr>
          <w:rFonts w:asciiTheme="majorHAnsi" w:hAnsiTheme="majorHAnsi" w:cstheme="minorHAnsi"/>
          <w:i/>
          <w:iCs/>
          <w:color w:val="3494BA" w:themeColor="accent1"/>
          <w:sz w:val="16"/>
          <w:szCs w:val="16"/>
          <w:lang w:val="en-US"/>
        </w:rPr>
      </w:pPr>
      <w:r w:rsidRPr="0035216C">
        <w:rPr>
          <w:rFonts w:asciiTheme="majorHAnsi" w:hAnsiTheme="majorHAnsi" w:cstheme="minorHAnsi"/>
          <w:color w:val="3494BA" w:themeColor="accent1"/>
          <w:sz w:val="16"/>
          <w:szCs w:val="16"/>
          <w:lang w:val="en-US"/>
        </w:rPr>
        <w:t xml:space="preserve">Source: </w:t>
      </w:r>
      <w:r w:rsidRPr="003765C1">
        <w:rPr>
          <w:rFonts w:asciiTheme="majorHAnsi" w:hAnsiTheme="majorHAnsi" w:cstheme="minorHAnsi"/>
          <w:i/>
          <w:iCs/>
          <w:color w:val="3494BA" w:themeColor="accent1"/>
          <w:sz w:val="16"/>
          <w:szCs w:val="16"/>
          <w:lang w:val="en-US"/>
        </w:rPr>
        <w:t>Whitley et al, 2018</w:t>
      </w:r>
    </w:p>
    <w:p w14:paraId="24E5C969" w14:textId="1E6C93DE" w:rsidR="00592800" w:rsidRDefault="00592800" w:rsidP="003765C1">
      <w:pPr>
        <w:keepNext/>
        <w:jc w:val="both"/>
        <w:rPr>
          <w:rFonts w:asciiTheme="majorHAnsi" w:hAnsiTheme="majorHAnsi" w:cstheme="minorHAnsi"/>
          <w:i/>
          <w:iCs/>
          <w:color w:val="3494BA" w:themeColor="accent1"/>
          <w:sz w:val="16"/>
          <w:szCs w:val="16"/>
          <w:lang w:val="en-US"/>
        </w:rPr>
      </w:pPr>
    </w:p>
    <w:p w14:paraId="312A4E61" w14:textId="4868CEAD" w:rsidR="00592800" w:rsidRDefault="00592800" w:rsidP="00592800">
      <w:pPr>
        <w:jc w:val="both"/>
        <w:rPr>
          <w:rFonts w:asciiTheme="majorHAnsi" w:hAnsiTheme="majorHAnsi" w:cstheme="minorHAnsi"/>
          <w:sz w:val="20"/>
          <w:lang w:val="en-US"/>
        </w:rPr>
      </w:pPr>
      <w:r w:rsidRPr="008B45B6">
        <w:rPr>
          <w:rFonts w:asciiTheme="majorHAnsi" w:hAnsiTheme="majorHAnsi" w:cstheme="minorHAnsi"/>
          <w:sz w:val="20"/>
          <w:lang w:val="en-US"/>
        </w:rPr>
        <w:t xml:space="preserve">Despite the great importance that Article 2.1c has </w:t>
      </w:r>
      <w:r w:rsidR="006E6C81">
        <w:rPr>
          <w:rFonts w:asciiTheme="majorHAnsi" w:hAnsiTheme="majorHAnsi" w:cstheme="minorHAnsi"/>
          <w:sz w:val="20"/>
          <w:lang w:val="en-US"/>
        </w:rPr>
        <w:t xml:space="preserve">in order </w:t>
      </w:r>
      <w:r w:rsidRPr="008B45B6">
        <w:rPr>
          <w:rFonts w:asciiTheme="majorHAnsi" w:hAnsiTheme="majorHAnsi" w:cstheme="minorHAnsi"/>
          <w:sz w:val="20"/>
          <w:lang w:val="en-US"/>
        </w:rPr>
        <w:t xml:space="preserve">to enable the very implementation of the Paris Agreement, very little has been done </w:t>
      </w:r>
      <w:r w:rsidR="00541240" w:rsidRPr="008B45B6">
        <w:rPr>
          <w:rFonts w:asciiTheme="majorHAnsi" w:hAnsiTheme="majorHAnsi" w:cstheme="minorHAnsi"/>
          <w:sz w:val="20"/>
          <w:lang w:val="en-US"/>
        </w:rPr>
        <w:t xml:space="preserve">through the United Nations regime </w:t>
      </w:r>
      <w:r w:rsidRPr="008B45B6">
        <w:rPr>
          <w:rFonts w:asciiTheme="majorHAnsi" w:hAnsiTheme="majorHAnsi" w:cstheme="minorHAnsi"/>
          <w:sz w:val="20"/>
          <w:lang w:val="en-US"/>
        </w:rPr>
        <w:t xml:space="preserve">to foster its understanding and implementation. </w:t>
      </w:r>
      <w:r w:rsidR="00541240" w:rsidRPr="008B45B6">
        <w:rPr>
          <w:rFonts w:asciiTheme="majorHAnsi" w:hAnsiTheme="majorHAnsi" w:cstheme="minorHAnsi"/>
          <w:sz w:val="20"/>
          <w:lang w:val="en-US"/>
        </w:rPr>
        <w:t xml:space="preserve">Thus, this opportunity to discuss options for approaches and guidelines for its </w:t>
      </w:r>
      <w:r w:rsidR="00766458" w:rsidRPr="008B45B6">
        <w:rPr>
          <w:rFonts w:asciiTheme="majorHAnsi" w:hAnsiTheme="majorHAnsi" w:cstheme="minorHAnsi"/>
          <w:sz w:val="20"/>
          <w:lang w:val="en-US"/>
        </w:rPr>
        <w:t>operationalization</w:t>
      </w:r>
      <w:r w:rsidR="00541240" w:rsidRPr="008B45B6">
        <w:rPr>
          <w:rFonts w:asciiTheme="majorHAnsi" w:hAnsiTheme="majorHAnsi" w:cstheme="minorHAnsi"/>
          <w:sz w:val="20"/>
          <w:lang w:val="en-US"/>
        </w:rPr>
        <w:t xml:space="preserve"> must take into account e</w:t>
      </w:r>
      <w:r w:rsidRPr="008B45B6">
        <w:rPr>
          <w:rFonts w:asciiTheme="majorHAnsi" w:hAnsiTheme="majorHAnsi" w:cstheme="minorHAnsi"/>
          <w:sz w:val="20"/>
          <w:lang w:val="en-US"/>
        </w:rPr>
        <w:t>ach national economy</w:t>
      </w:r>
      <w:r w:rsidR="009D3CE3">
        <w:rPr>
          <w:rFonts w:asciiTheme="majorHAnsi" w:hAnsiTheme="majorHAnsi" w:cstheme="minorHAnsi"/>
          <w:sz w:val="20"/>
          <w:lang w:val="en-US"/>
        </w:rPr>
        <w:t>’</w:t>
      </w:r>
      <w:r w:rsidR="00541240" w:rsidRPr="008B45B6">
        <w:rPr>
          <w:rFonts w:asciiTheme="majorHAnsi" w:hAnsiTheme="majorHAnsi" w:cstheme="minorHAnsi"/>
          <w:sz w:val="20"/>
          <w:lang w:val="en-US"/>
        </w:rPr>
        <w:t xml:space="preserve">s </w:t>
      </w:r>
      <w:r w:rsidRPr="008B45B6">
        <w:rPr>
          <w:rFonts w:asciiTheme="majorHAnsi" w:hAnsiTheme="majorHAnsi" w:cstheme="minorHAnsi"/>
          <w:sz w:val="20"/>
          <w:lang w:val="en-US"/>
        </w:rPr>
        <w:t xml:space="preserve">level of dependence on fossil fuels or high-emissions activities with regards to public finance (budget, subsidies, imports and exports and/or investments) and private finance (investments, bonds, assets, loans, </w:t>
      </w:r>
      <w:r w:rsidR="00481FE7" w:rsidRPr="008B45B6">
        <w:rPr>
          <w:rFonts w:asciiTheme="majorHAnsi" w:hAnsiTheme="majorHAnsi" w:cstheme="minorHAnsi"/>
          <w:sz w:val="20"/>
          <w:lang w:val="en-US"/>
        </w:rPr>
        <w:t>capitali</w:t>
      </w:r>
      <w:r w:rsidR="00481FE7">
        <w:rPr>
          <w:rFonts w:asciiTheme="majorHAnsi" w:hAnsiTheme="majorHAnsi" w:cstheme="minorHAnsi"/>
          <w:sz w:val="20"/>
          <w:lang w:val="en-US"/>
        </w:rPr>
        <w:t>z</w:t>
      </w:r>
      <w:r w:rsidR="00481FE7" w:rsidRPr="008B45B6">
        <w:rPr>
          <w:rFonts w:asciiTheme="majorHAnsi" w:hAnsiTheme="majorHAnsi" w:cstheme="minorHAnsi"/>
          <w:sz w:val="20"/>
          <w:lang w:val="en-US"/>
        </w:rPr>
        <w:t>ation</w:t>
      </w:r>
      <w:r w:rsidRPr="008B45B6">
        <w:rPr>
          <w:rFonts w:asciiTheme="majorHAnsi" w:hAnsiTheme="majorHAnsi" w:cstheme="minorHAnsi"/>
          <w:sz w:val="20"/>
          <w:lang w:val="en-US"/>
        </w:rPr>
        <w:t>, equity)</w:t>
      </w:r>
      <w:r w:rsidR="00541240" w:rsidRPr="008B45B6">
        <w:rPr>
          <w:rFonts w:asciiTheme="majorHAnsi" w:hAnsiTheme="majorHAnsi" w:cstheme="minorHAnsi"/>
          <w:sz w:val="20"/>
          <w:lang w:val="en-US"/>
        </w:rPr>
        <w:t>, so to</w:t>
      </w:r>
      <w:r w:rsidRPr="008B45B6">
        <w:rPr>
          <w:rFonts w:asciiTheme="majorHAnsi" w:hAnsiTheme="majorHAnsi" w:cstheme="minorHAnsi"/>
          <w:sz w:val="20"/>
          <w:lang w:val="en-US"/>
        </w:rPr>
        <w:t xml:space="preserve"> foster </w:t>
      </w:r>
      <w:r w:rsidR="00541240" w:rsidRPr="008B45B6">
        <w:rPr>
          <w:rFonts w:asciiTheme="majorHAnsi" w:hAnsiTheme="majorHAnsi" w:cstheme="minorHAnsi"/>
          <w:sz w:val="20"/>
          <w:lang w:val="en-US"/>
        </w:rPr>
        <w:t>climate consistency in a manner that acknowledges national circumstances</w:t>
      </w:r>
      <w:r w:rsidR="00790D56" w:rsidRPr="008B45B6">
        <w:rPr>
          <w:rFonts w:asciiTheme="majorHAnsi" w:hAnsiTheme="majorHAnsi" w:cstheme="minorHAnsi"/>
          <w:sz w:val="20"/>
          <w:lang w:val="en-US"/>
        </w:rPr>
        <w:t xml:space="preserve"> and concrete challenges</w:t>
      </w:r>
      <w:r w:rsidR="00541240" w:rsidRPr="008B45B6">
        <w:rPr>
          <w:rFonts w:asciiTheme="majorHAnsi" w:hAnsiTheme="majorHAnsi" w:cstheme="minorHAnsi"/>
          <w:sz w:val="20"/>
          <w:lang w:val="en-US"/>
        </w:rPr>
        <w:t xml:space="preserve">, particularly </w:t>
      </w:r>
      <w:r w:rsidR="00790D56" w:rsidRPr="008B45B6">
        <w:rPr>
          <w:rFonts w:asciiTheme="majorHAnsi" w:hAnsiTheme="majorHAnsi" w:cstheme="minorHAnsi"/>
          <w:sz w:val="20"/>
          <w:lang w:val="en-US"/>
        </w:rPr>
        <w:t>in</w:t>
      </w:r>
      <w:r w:rsidR="00541240" w:rsidRPr="008B45B6">
        <w:rPr>
          <w:rFonts w:asciiTheme="majorHAnsi" w:hAnsiTheme="majorHAnsi" w:cstheme="minorHAnsi"/>
          <w:sz w:val="20"/>
          <w:lang w:val="en-US"/>
        </w:rPr>
        <w:t xml:space="preserve"> </w:t>
      </w:r>
      <w:r w:rsidRPr="008B45B6">
        <w:rPr>
          <w:rFonts w:asciiTheme="majorHAnsi" w:hAnsiTheme="majorHAnsi" w:cstheme="minorHAnsi"/>
          <w:sz w:val="20"/>
          <w:lang w:val="en-US"/>
        </w:rPr>
        <w:t xml:space="preserve">developing countries. </w:t>
      </w:r>
      <w:r w:rsidR="00790D56" w:rsidRPr="008B45B6">
        <w:rPr>
          <w:rFonts w:asciiTheme="majorHAnsi" w:hAnsiTheme="majorHAnsi" w:cstheme="minorHAnsi"/>
          <w:sz w:val="20"/>
          <w:lang w:val="en-US"/>
        </w:rPr>
        <w:t>In order to exemplify this type of dependences and concrete circumstances, we would like to bring forward a</w:t>
      </w:r>
      <w:r w:rsidRPr="008B45B6">
        <w:rPr>
          <w:rFonts w:asciiTheme="majorHAnsi" w:hAnsiTheme="majorHAnsi" w:cstheme="minorHAnsi"/>
          <w:sz w:val="20"/>
          <w:lang w:val="en-US"/>
        </w:rPr>
        <w:t xml:space="preserve"> 2.1c) case study for Colombia </w:t>
      </w:r>
      <w:r w:rsidR="008B45B6">
        <w:rPr>
          <w:rFonts w:asciiTheme="majorHAnsi" w:hAnsiTheme="majorHAnsi" w:cstheme="minorHAnsi"/>
          <w:sz w:val="20"/>
          <w:lang w:val="en-US"/>
        </w:rPr>
        <w:t>-</w:t>
      </w:r>
      <w:r w:rsidRPr="008B45B6">
        <w:rPr>
          <w:rFonts w:asciiTheme="majorHAnsi" w:hAnsiTheme="majorHAnsi" w:cstheme="minorHAnsi"/>
          <w:sz w:val="20"/>
          <w:lang w:val="en-US"/>
        </w:rPr>
        <w:t>summarized below</w:t>
      </w:r>
      <w:r w:rsidR="008B45B6">
        <w:rPr>
          <w:rFonts w:asciiTheme="majorHAnsi" w:hAnsiTheme="majorHAnsi" w:cstheme="minorHAnsi"/>
          <w:sz w:val="20"/>
          <w:lang w:val="en-US"/>
        </w:rPr>
        <w:t>-</w:t>
      </w:r>
      <w:r w:rsidR="00766458" w:rsidRPr="008B45B6">
        <w:rPr>
          <w:rFonts w:asciiTheme="majorHAnsi" w:hAnsiTheme="majorHAnsi" w:cstheme="minorHAnsi"/>
          <w:sz w:val="20"/>
          <w:lang w:val="en-US"/>
        </w:rPr>
        <w:t xml:space="preserve">, where it is shown the </w:t>
      </w:r>
      <w:r w:rsidR="008B45B6">
        <w:rPr>
          <w:rFonts w:asciiTheme="majorHAnsi" w:hAnsiTheme="majorHAnsi" w:cstheme="minorHAnsi"/>
          <w:sz w:val="20"/>
          <w:lang w:val="en-US"/>
        </w:rPr>
        <w:t xml:space="preserve">enormous task that will represent to shift </w:t>
      </w:r>
      <w:r w:rsidR="00E917BF">
        <w:rPr>
          <w:rFonts w:asciiTheme="majorHAnsi" w:hAnsiTheme="majorHAnsi" w:cstheme="minorHAnsi"/>
          <w:sz w:val="20"/>
          <w:lang w:val="en-US"/>
        </w:rPr>
        <w:t xml:space="preserve">public and private financial flows towards climate consistency from current minimum levels; the </w:t>
      </w:r>
      <w:r w:rsidR="00766458" w:rsidRPr="008B45B6">
        <w:rPr>
          <w:rFonts w:asciiTheme="majorHAnsi" w:hAnsiTheme="majorHAnsi" w:cstheme="minorHAnsi"/>
          <w:sz w:val="20"/>
          <w:lang w:val="en-US"/>
        </w:rPr>
        <w:t xml:space="preserve">significant lack of knowledge, recognition </w:t>
      </w:r>
      <w:r w:rsidR="00766458" w:rsidRPr="008B45B6">
        <w:rPr>
          <w:rFonts w:asciiTheme="majorHAnsi" w:hAnsiTheme="majorHAnsi" w:cstheme="minorHAnsi"/>
          <w:sz w:val="20"/>
          <w:lang w:val="en-US"/>
        </w:rPr>
        <w:lastRenderedPageBreak/>
        <w:t xml:space="preserve">and awareness around Article 2.1c and its implications on climate consistency </w:t>
      </w:r>
      <w:r w:rsidR="008B45B6">
        <w:rPr>
          <w:rFonts w:asciiTheme="majorHAnsi" w:hAnsiTheme="majorHAnsi" w:cstheme="minorHAnsi"/>
          <w:sz w:val="20"/>
          <w:lang w:val="en-US"/>
        </w:rPr>
        <w:t>in</w:t>
      </w:r>
      <w:r w:rsidR="00766458" w:rsidRPr="008B45B6">
        <w:rPr>
          <w:rFonts w:asciiTheme="majorHAnsi" w:hAnsiTheme="majorHAnsi" w:cstheme="minorHAnsi"/>
          <w:sz w:val="20"/>
          <w:lang w:val="en-US"/>
        </w:rPr>
        <w:t xml:space="preserve"> public and private financial flows</w:t>
      </w:r>
      <w:r w:rsidR="008B45B6">
        <w:rPr>
          <w:rFonts w:asciiTheme="majorHAnsi" w:hAnsiTheme="majorHAnsi" w:cstheme="minorHAnsi"/>
          <w:sz w:val="20"/>
          <w:lang w:val="en-US"/>
        </w:rPr>
        <w:t>;</w:t>
      </w:r>
      <w:r w:rsidR="00766458" w:rsidRPr="008B45B6">
        <w:rPr>
          <w:rFonts w:asciiTheme="majorHAnsi" w:hAnsiTheme="majorHAnsi" w:cstheme="minorHAnsi"/>
          <w:sz w:val="20"/>
          <w:lang w:val="en-US"/>
        </w:rPr>
        <w:t xml:space="preserve"> the imperative need to address prevalent economic </w:t>
      </w:r>
      <w:r w:rsidR="008B45B6">
        <w:rPr>
          <w:rFonts w:asciiTheme="majorHAnsi" w:hAnsiTheme="majorHAnsi" w:cstheme="minorHAnsi"/>
          <w:sz w:val="20"/>
          <w:lang w:val="en-US"/>
        </w:rPr>
        <w:t xml:space="preserve">public </w:t>
      </w:r>
      <w:r w:rsidR="00766458" w:rsidRPr="008B45B6">
        <w:rPr>
          <w:rFonts w:asciiTheme="majorHAnsi" w:hAnsiTheme="majorHAnsi" w:cstheme="minorHAnsi"/>
          <w:sz w:val="20"/>
          <w:lang w:val="en-US"/>
        </w:rPr>
        <w:t>dependences to climate incompatible financial flows</w:t>
      </w:r>
      <w:r w:rsidR="008B45B6">
        <w:rPr>
          <w:rFonts w:asciiTheme="majorHAnsi" w:hAnsiTheme="majorHAnsi" w:cstheme="minorHAnsi"/>
          <w:sz w:val="20"/>
          <w:lang w:val="en-US"/>
        </w:rPr>
        <w:t>;</w:t>
      </w:r>
      <w:r w:rsidR="00766458" w:rsidRPr="008B45B6">
        <w:rPr>
          <w:rFonts w:asciiTheme="majorHAnsi" w:hAnsiTheme="majorHAnsi" w:cstheme="minorHAnsi"/>
          <w:sz w:val="20"/>
          <w:lang w:val="en-US"/>
        </w:rPr>
        <w:t xml:space="preserve"> as well as </w:t>
      </w:r>
      <w:r w:rsidR="008B45B6">
        <w:rPr>
          <w:rFonts w:asciiTheme="majorHAnsi" w:hAnsiTheme="majorHAnsi" w:cstheme="minorHAnsi"/>
          <w:sz w:val="20"/>
          <w:lang w:val="en-US"/>
        </w:rPr>
        <w:t xml:space="preserve">existing </w:t>
      </w:r>
      <w:r w:rsidR="00766458" w:rsidRPr="008B45B6">
        <w:rPr>
          <w:rFonts w:asciiTheme="majorHAnsi" w:hAnsiTheme="majorHAnsi" w:cstheme="minorHAnsi"/>
          <w:sz w:val="20"/>
          <w:lang w:val="en-US"/>
        </w:rPr>
        <w:t xml:space="preserve">data gaps and </w:t>
      </w:r>
      <w:r w:rsidR="008B45B6">
        <w:rPr>
          <w:rFonts w:asciiTheme="majorHAnsi" w:hAnsiTheme="majorHAnsi" w:cstheme="minorHAnsi"/>
          <w:sz w:val="20"/>
          <w:lang w:val="en-US"/>
        </w:rPr>
        <w:t xml:space="preserve">level of </w:t>
      </w:r>
      <w:r w:rsidR="00766458" w:rsidRPr="008B45B6">
        <w:rPr>
          <w:rFonts w:asciiTheme="majorHAnsi" w:hAnsiTheme="majorHAnsi" w:cstheme="minorHAnsi"/>
          <w:sz w:val="20"/>
          <w:lang w:val="en-US"/>
        </w:rPr>
        <w:t xml:space="preserve">disaggregation </w:t>
      </w:r>
      <w:r w:rsidR="008B45B6">
        <w:rPr>
          <w:rFonts w:asciiTheme="majorHAnsi" w:hAnsiTheme="majorHAnsi" w:cstheme="minorHAnsi"/>
          <w:sz w:val="20"/>
          <w:lang w:val="en-US"/>
        </w:rPr>
        <w:t>in understanding climate consistency of these flows</w:t>
      </w:r>
      <w:r w:rsidR="00766458" w:rsidRPr="008B45B6">
        <w:rPr>
          <w:rFonts w:asciiTheme="majorHAnsi" w:hAnsiTheme="majorHAnsi" w:cstheme="minorHAnsi"/>
          <w:sz w:val="20"/>
          <w:lang w:val="en-US"/>
        </w:rPr>
        <w:t xml:space="preserve"> beyond what is labeled as climate finance or fossil fuel activities, i.e. how to characterize maladaptive activities or financing</w:t>
      </w:r>
      <w:r w:rsidR="00E917BF">
        <w:rPr>
          <w:rFonts w:asciiTheme="majorHAnsi" w:hAnsiTheme="majorHAnsi" w:cstheme="minorHAnsi"/>
          <w:sz w:val="20"/>
          <w:lang w:val="en-US"/>
        </w:rPr>
        <w:t xml:space="preserve"> or</w:t>
      </w:r>
      <w:r w:rsidR="008B45B6" w:rsidRPr="008B45B6">
        <w:rPr>
          <w:rFonts w:asciiTheme="majorHAnsi" w:hAnsiTheme="majorHAnsi" w:cstheme="minorHAnsi"/>
          <w:sz w:val="20"/>
          <w:lang w:val="en-US"/>
        </w:rPr>
        <w:t xml:space="preserve"> how to label “neutral” financing </w:t>
      </w:r>
      <w:r w:rsidR="008B45B6">
        <w:rPr>
          <w:rFonts w:asciiTheme="majorHAnsi" w:hAnsiTheme="majorHAnsi" w:cstheme="minorHAnsi"/>
          <w:sz w:val="20"/>
          <w:lang w:val="en-US"/>
        </w:rPr>
        <w:t xml:space="preserve">that relates to </w:t>
      </w:r>
      <w:r w:rsidR="008B45B6" w:rsidRPr="008B45B6">
        <w:rPr>
          <w:rFonts w:asciiTheme="majorHAnsi" w:hAnsiTheme="majorHAnsi" w:cstheme="minorHAnsi"/>
          <w:sz w:val="20"/>
          <w:lang w:val="en-US"/>
        </w:rPr>
        <w:t>education, poverty eradication or health</w:t>
      </w:r>
      <w:r w:rsidRPr="008B45B6">
        <w:rPr>
          <w:rFonts w:asciiTheme="majorHAnsi" w:hAnsiTheme="majorHAnsi" w:cstheme="minorHAnsi"/>
          <w:sz w:val="20"/>
          <w:lang w:val="en-US"/>
        </w:rPr>
        <w:t>.</w:t>
      </w:r>
      <w:r>
        <w:rPr>
          <w:rFonts w:asciiTheme="majorHAnsi" w:hAnsiTheme="majorHAnsi" w:cstheme="minorHAnsi"/>
          <w:sz w:val="20"/>
          <w:lang w:val="en-US"/>
        </w:rPr>
        <w:t xml:space="preserve"> </w:t>
      </w:r>
    </w:p>
    <w:tbl>
      <w:tblPr>
        <w:tblStyle w:val="TableGrid"/>
        <w:tblW w:w="0" w:type="auto"/>
        <w:tblLook w:val="04A0" w:firstRow="1" w:lastRow="0" w:firstColumn="1" w:lastColumn="0" w:noHBand="0" w:noVBand="1"/>
      </w:tblPr>
      <w:tblGrid>
        <w:gridCol w:w="8828"/>
      </w:tblGrid>
      <w:tr w:rsidR="00592800" w:rsidRPr="004629C3" w14:paraId="7C65D347" w14:textId="77777777" w:rsidTr="000B3CFF">
        <w:tc>
          <w:tcPr>
            <w:tcW w:w="8828" w:type="dxa"/>
            <w:shd w:val="clear" w:color="auto" w:fill="85A5C1" w:themeFill="background2" w:themeFillShade="BF"/>
          </w:tcPr>
          <w:p w14:paraId="3F0DAC31" w14:textId="45BF8344" w:rsidR="00592800" w:rsidRPr="00A204D5" w:rsidRDefault="00592800" w:rsidP="000B3CFF">
            <w:pPr>
              <w:jc w:val="both"/>
              <w:rPr>
                <w:rFonts w:asciiTheme="majorHAnsi" w:hAnsiTheme="majorHAnsi" w:cstheme="minorHAnsi"/>
                <w:b/>
                <w:bCs/>
                <w:color w:val="000000" w:themeColor="text1"/>
                <w:sz w:val="16"/>
                <w:szCs w:val="16"/>
                <w:lang w:val="en-US"/>
              </w:rPr>
            </w:pPr>
            <w:r w:rsidRPr="00A204D5">
              <w:rPr>
                <w:rFonts w:asciiTheme="majorHAnsi" w:hAnsiTheme="majorHAnsi"/>
                <w:b/>
                <w:bCs/>
                <w:color w:val="000000" w:themeColor="text1"/>
                <w:sz w:val="16"/>
                <w:szCs w:val="16"/>
                <w:lang w:val="en-US"/>
              </w:rPr>
              <w:t xml:space="preserve">Summary of a </w:t>
            </w:r>
            <w:r w:rsidR="00C01DF3">
              <w:rPr>
                <w:rFonts w:asciiTheme="majorHAnsi" w:hAnsiTheme="majorHAnsi"/>
                <w:b/>
                <w:bCs/>
                <w:color w:val="000000" w:themeColor="text1"/>
                <w:sz w:val="16"/>
                <w:szCs w:val="16"/>
                <w:lang w:val="en-US"/>
              </w:rPr>
              <w:t>consistency</w:t>
            </w:r>
            <w:r w:rsidR="00C01DF3" w:rsidRPr="00A204D5">
              <w:rPr>
                <w:rFonts w:asciiTheme="majorHAnsi" w:hAnsiTheme="majorHAnsi"/>
                <w:b/>
                <w:bCs/>
                <w:color w:val="000000" w:themeColor="text1"/>
                <w:sz w:val="16"/>
                <w:szCs w:val="16"/>
                <w:lang w:val="en-GB"/>
              </w:rPr>
              <w:t xml:space="preserve"> </w:t>
            </w:r>
            <w:r w:rsidRPr="00A204D5">
              <w:rPr>
                <w:rFonts w:asciiTheme="majorHAnsi" w:hAnsiTheme="majorHAnsi"/>
                <w:b/>
                <w:bCs/>
                <w:color w:val="000000" w:themeColor="text1"/>
                <w:sz w:val="16"/>
                <w:szCs w:val="16"/>
                <w:lang w:val="en-GB"/>
              </w:rPr>
              <w:t>case study for actions supporting Article 2.1c of the Paris Agreement in Colombia</w:t>
            </w:r>
            <w:r w:rsidRPr="00A204D5">
              <w:rPr>
                <w:rStyle w:val="FootnoteReference"/>
                <w:rFonts w:asciiTheme="majorHAnsi" w:hAnsiTheme="majorHAnsi" w:cstheme="minorHAnsi"/>
                <w:b/>
                <w:bCs/>
                <w:color w:val="000000" w:themeColor="text1"/>
                <w:sz w:val="16"/>
                <w:szCs w:val="16"/>
                <w:lang w:val="en-US"/>
              </w:rPr>
              <w:t xml:space="preserve"> </w:t>
            </w:r>
            <w:r w:rsidRPr="00A204D5">
              <w:rPr>
                <w:rStyle w:val="FootnoteReference"/>
                <w:rFonts w:asciiTheme="majorHAnsi" w:hAnsiTheme="majorHAnsi" w:cstheme="minorHAnsi"/>
                <w:b/>
                <w:bCs/>
                <w:color w:val="000000" w:themeColor="text1"/>
                <w:sz w:val="16"/>
                <w:szCs w:val="16"/>
                <w:lang w:val="en-US"/>
              </w:rPr>
              <w:footnoteReference w:id="15"/>
            </w:r>
          </w:p>
          <w:p w14:paraId="0A939C2F" w14:textId="77777777" w:rsidR="00592800" w:rsidRPr="00A204D5" w:rsidRDefault="00592800" w:rsidP="000B3CFF">
            <w:pPr>
              <w:jc w:val="both"/>
              <w:rPr>
                <w:rFonts w:asciiTheme="majorHAnsi" w:hAnsiTheme="majorHAnsi" w:cstheme="minorHAnsi"/>
                <w:color w:val="000000" w:themeColor="text1"/>
                <w:sz w:val="16"/>
                <w:szCs w:val="16"/>
                <w:lang w:val="en-US"/>
              </w:rPr>
            </w:pPr>
          </w:p>
          <w:p w14:paraId="5BDB7C62" w14:textId="5F1B9E2B" w:rsidR="00592800" w:rsidRPr="00A204D5" w:rsidRDefault="00592800" w:rsidP="000B3CFF">
            <w:pPr>
              <w:jc w:val="both"/>
              <w:rPr>
                <w:rFonts w:asciiTheme="majorHAnsi" w:hAnsiTheme="majorHAnsi"/>
                <w:color w:val="000000" w:themeColor="text1"/>
                <w:sz w:val="16"/>
                <w:szCs w:val="16"/>
                <w:lang w:val="en-GB"/>
              </w:rPr>
            </w:pPr>
            <w:r w:rsidRPr="00A204D5">
              <w:rPr>
                <w:rFonts w:asciiTheme="majorHAnsi" w:hAnsiTheme="majorHAnsi" w:cs="Times New Roman"/>
                <w:color w:val="000000" w:themeColor="text1"/>
                <w:sz w:val="16"/>
                <w:szCs w:val="16"/>
                <w:lang w:val="en-GB"/>
              </w:rPr>
              <w:t xml:space="preserve">Colombia is an upper middle-income developing country with a small contribution to global GHG emissions (0.41%), highvulnerability to the adverse effects of climate change and yet, ambitious emission reduction and adaptation objectives for the mid (51% of GHG emissions reductions by 2030) and long-term (carbon neutrality by 2050) to ensure the mitigation and adaptation long-term goals of the Paris Agreement are achieved.  </w:t>
            </w:r>
          </w:p>
          <w:p w14:paraId="0E3F961E" w14:textId="77777777" w:rsidR="00592800" w:rsidRPr="00A204D5" w:rsidRDefault="00592800" w:rsidP="000B3CFF">
            <w:pPr>
              <w:jc w:val="both"/>
              <w:rPr>
                <w:rFonts w:asciiTheme="majorHAnsi" w:hAnsiTheme="majorHAnsi" w:cs="Times New Roman"/>
                <w:i/>
                <w:iCs/>
                <w:color w:val="000000" w:themeColor="text1"/>
                <w:sz w:val="16"/>
                <w:szCs w:val="16"/>
                <w:lang w:val="en-GB"/>
              </w:rPr>
            </w:pPr>
          </w:p>
          <w:p w14:paraId="386EC08F" w14:textId="77777777" w:rsidR="00592800" w:rsidRPr="00A204D5" w:rsidRDefault="00592800" w:rsidP="000B3CFF">
            <w:pPr>
              <w:jc w:val="both"/>
              <w:rPr>
                <w:rFonts w:asciiTheme="majorHAnsi" w:hAnsiTheme="majorHAnsi" w:cs="Times New Roman"/>
                <w:b/>
                <w:iCs/>
                <w:color w:val="000000" w:themeColor="text1"/>
                <w:sz w:val="16"/>
                <w:szCs w:val="16"/>
                <w:lang w:val="en-GB"/>
              </w:rPr>
            </w:pPr>
            <w:r w:rsidRPr="00A204D5">
              <w:rPr>
                <w:rFonts w:asciiTheme="majorHAnsi" w:hAnsiTheme="majorHAnsi" w:cs="Times New Roman"/>
                <w:b/>
                <w:i/>
                <w:iCs/>
                <w:color w:val="000000" w:themeColor="text1"/>
                <w:sz w:val="16"/>
                <w:szCs w:val="16"/>
                <w:lang w:val="en-GB"/>
              </w:rPr>
              <w:t>Deforestation and agriculture in Colombia</w:t>
            </w:r>
          </w:p>
          <w:p w14:paraId="0BDE089E" w14:textId="441E64EE" w:rsidR="00592800" w:rsidRPr="00A204D5" w:rsidRDefault="00592800" w:rsidP="000B3CFF">
            <w:pPr>
              <w:jc w:val="both"/>
              <w:rPr>
                <w:rFonts w:asciiTheme="majorHAnsi" w:hAnsiTheme="majorHAnsi" w:cs="Times New Roman"/>
                <w:iCs/>
                <w:color w:val="000000" w:themeColor="text1"/>
                <w:sz w:val="16"/>
                <w:szCs w:val="16"/>
                <w:lang w:val="en-GB"/>
              </w:rPr>
            </w:pPr>
            <w:r w:rsidRPr="00A204D5">
              <w:rPr>
                <w:rFonts w:asciiTheme="majorHAnsi" w:hAnsiTheme="majorHAnsi" w:cs="Times New Roman"/>
                <w:iCs/>
                <w:color w:val="000000" w:themeColor="text1"/>
                <w:sz w:val="16"/>
                <w:szCs w:val="16"/>
                <w:lang w:val="en-GB"/>
              </w:rPr>
              <w:t>By 2014, 51.4% of Colombia</w:t>
            </w:r>
            <w:r w:rsidR="00EF5E81">
              <w:rPr>
                <w:rFonts w:asciiTheme="majorHAnsi" w:hAnsiTheme="majorHAnsi" w:cs="Times New Roman"/>
                <w:iCs/>
                <w:color w:val="000000" w:themeColor="text1"/>
                <w:sz w:val="16"/>
                <w:szCs w:val="16"/>
                <w:lang w:val="en-GB"/>
              </w:rPr>
              <w:t>’</w:t>
            </w:r>
            <w:r w:rsidRPr="00A204D5">
              <w:rPr>
                <w:rFonts w:asciiTheme="majorHAnsi" w:hAnsiTheme="majorHAnsi" w:cs="Times New Roman"/>
                <w:iCs/>
                <w:color w:val="000000" w:themeColor="text1"/>
                <w:sz w:val="16"/>
                <w:szCs w:val="16"/>
                <w:lang w:val="en-GB"/>
              </w:rPr>
              <w:t>s land territory was covered by natural forests. In the period between 1990 and 2014, this forest area had been deforested in 4.8%, mainly in the Colombian Amazonia which has 66.7% of the country</w:t>
            </w:r>
            <w:r w:rsidR="003924FA">
              <w:rPr>
                <w:rFonts w:asciiTheme="majorHAnsi" w:hAnsiTheme="majorHAnsi" w:cs="Times New Roman"/>
                <w:iCs/>
                <w:color w:val="000000" w:themeColor="text1"/>
                <w:sz w:val="16"/>
                <w:szCs w:val="16"/>
                <w:lang w:val="en-GB"/>
              </w:rPr>
              <w:t>’</w:t>
            </w:r>
            <w:r w:rsidRPr="00A204D5">
              <w:rPr>
                <w:rFonts w:asciiTheme="majorHAnsi" w:hAnsiTheme="majorHAnsi" w:cs="Times New Roman"/>
                <w:iCs/>
                <w:color w:val="000000" w:themeColor="text1"/>
                <w:sz w:val="16"/>
                <w:szCs w:val="16"/>
                <w:lang w:val="en-GB"/>
              </w:rPr>
              <w:t xml:space="preserve">s forest area (IDEAM, 2020a). After the signing of a peace agreement in 2016, </w:t>
            </w:r>
            <w:r w:rsidRPr="00A204D5">
              <w:rPr>
                <w:rFonts w:asciiTheme="majorHAnsi" w:hAnsiTheme="majorHAnsi" w:cs="Times New Roman"/>
                <w:bCs/>
                <w:iCs/>
                <w:color w:val="000000" w:themeColor="text1"/>
                <w:sz w:val="16"/>
                <w:szCs w:val="16"/>
                <w:lang w:val="en-GB"/>
              </w:rPr>
              <w:t>79% of Colombian Protected Areas experienced increased deforestation, with a dramatic and highly</w:t>
            </w:r>
            <w:r w:rsidRPr="00A204D5">
              <w:rPr>
                <w:rFonts w:asciiTheme="majorHAnsi" w:hAnsiTheme="majorHAnsi" w:cs="Times New Roman"/>
                <w:iCs/>
                <w:color w:val="000000" w:themeColor="text1"/>
                <w:sz w:val="16"/>
                <w:szCs w:val="16"/>
                <w:lang w:val="en-GB"/>
              </w:rPr>
              <w:t xml:space="preserve"> </w:t>
            </w:r>
            <w:r w:rsidRPr="00A204D5">
              <w:rPr>
                <w:rFonts w:asciiTheme="majorHAnsi" w:hAnsiTheme="majorHAnsi" w:cs="Times New Roman"/>
                <w:bCs/>
                <w:iCs/>
                <w:color w:val="000000" w:themeColor="text1"/>
                <w:sz w:val="16"/>
                <w:szCs w:val="16"/>
                <w:lang w:val="en-GB"/>
              </w:rPr>
              <w:t>significant 177% increase in the deforestation rate (158,894 ha in 2019)</w:t>
            </w:r>
            <w:r w:rsidRPr="00A204D5">
              <w:rPr>
                <w:rFonts w:asciiTheme="majorHAnsi" w:hAnsiTheme="majorHAnsi" w:cs="Times New Roman"/>
                <w:iCs/>
                <w:color w:val="000000" w:themeColor="text1"/>
                <w:sz w:val="16"/>
                <w:szCs w:val="16"/>
                <w:lang w:val="en-GB"/>
              </w:rPr>
              <w:t>. Major drivers of deforestation are the expansion of the agricultural frontier and the transformation of forest into pastures for cattle ranching and land grabbing. In the last decades, illicit activities have also been part of the driving forces behind deforestation, mainly through their relation with illegal crops, mining and logging. Besides these factors, exacerbated deforestation is due to the exit of the Revolutionary Armed Forces of Colombia (FARC) that used to control a large part of the country. Agriculture and its expansion, often leading to deforestation, is a source of emissions, but also a potential mitigation solution (Searchinger et al., 2020).  Although in the last couple of years the deforestation rate has started to decline (from 219,973 ha in 2017 to 158,894 ha in 2019) (IDEAM, 2020b), in looking to the future (and awaiting for data for 2020 where the deforestation rate seems to have increased), it would still be necessary to enhance law enforcement, promote rural land use regulation and effective conservation of protected areas, together with an integrative, comprehensive understanding of local communities’ needs, sustainable development, and long-term management (Clerici et al., 2020). The role that public levers play in shifting the incentives and disincentives in agriculture and forestry are important, this includes public agricultural support, social protection and access to green finance (Watson, 2021).</w:t>
            </w:r>
          </w:p>
          <w:p w14:paraId="5FFD40A1" w14:textId="77777777" w:rsidR="00592800" w:rsidRPr="00A204D5" w:rsidRDefault="00592800" w:rsidP="000B3CFF">
            <w:pPr>
              <w:jc w:val="both"/>
              <w:rPr>
                <w:rFonts w:asciiTheme="majorHAnsi" w:hAnsiTheme="majorHAnsi" w:cs="Times New Roman"/>
                <w:iCs/>
                <w:color w:val="000000" w:themeColor="text1"/>
                <w:sz w:val="16"/>
                <w:szCs w:val="16"/>
                <w:lang w:val="en-GB"/>
              </w:rPr>
            </w:pPr>
          </w:p>
          <w:p w14:paraId="11A55947" w14:textId="77777777" w:rsidR="00592800" w:rsidRPr="00A204D5" w:rsidRDefault="00592800" w:rsidP="000B3CFF">
            <w:pPr>
              <w:jc w:val="both"/>
              <w:rPr>
                <w:rFonts w:asciiTheme="majorHAnsi" w:hAnsiTheme="majorHAnsi" w:cs="Times New Roman"/>
                <w:b/>
                <w:i/>
                <w:iCs/>
                <w:color w:val="000000" w:themeColor="text1"/>
                <w:sz w:val="16"/>
                <w:szCs w:val="16"/>
                <w:lang w:val="en-GB"/>
              </w:rPr>
            </w:pPr>
            <w:r w:rsidRPr="00A204D5">
              <w:rPr>
                <w:rFonts w:asciiTheme="majorHAnsi" w:hAnsiTheme="majorHAnsi" w:cs="Times New Roman"/>
                <w:b/>
                <w:i/>
                <w:iCs/>
                <w:color w:val="000000" w:themeColor="text1"/>
                <w:sz w:val="16"/>
                <w:szCs w:val="16"/>
                <w:lang w:val="en-GB"/>
              </w:rPr>
              <w:t>Energy transition in Colombia</w:t>
            </w:r>
          </w:p>
          <w:p w14:paraId="0F5EA4C7" w14:textId="77777777" w:rsidR="00592800" w:rsidRPr="00A204D5" w:rsidRDefault="00592800" w:rsidP="000B3CFF">
            <w:pPr>
              <w:jc w:val="both"/>
              <w:rPr>
                <w:rFonts w:asciiTheme="majorHAnsi" w:hAnsiTheme="majorHAnsi" w:cs="Times New Roman"/>
                <w:iCs/>
                <w:color w:val="000000" w:themeColor="text1"/>
                <w:sz w:val="16"/>
                <w:szCs w:val="16"/>
                <w:u w:val="single"/>
                <w:lang w:val="en-GB"/>
              </w:rPr>
            </w:pPr>
            <w:r w:rsidRPr="00A204D5">
              <w:rPr>
                <w:rFonts w:asciiTheme="majorHAnsi" w:hAnsiTheme="majorHAnsi" w:cs="Times New Roman"/>
                <w:iCs/>
                <w:color w:val="000000" w:themeColor="text1"/>
                <w:sz w:val="16"/>
                <w:szCs w:val="16"/>
                <w:lang w:val="en-GB"/>
              </w:rPr>
              <w:t>The current energy matrix of Colombia has a high share of hydroelectricity (76% of total electricity generation) (Calderón et al, 2016). Notwithstanding this fact, an energy transformation of Colombia’s economy – required to achieve the 2020 updated NDC and the carbon neutrality goal – must address the following issues</w:t>
            </w:r>
            <w:r w:rsidRPr="00A204D5">
              <w:rPr>
                <w:rFonts w:asciiTheme="majorHAnsi" w:hAnsiTheme="majorHAnsi" w:cs="Times New Roman"/>
                <w:iCs/>
                <w:color w:val="000000" w:themeColor="text1"/>
                <w:sz w:val="16"/>
                <w:szCs w:val="16"/>
                <w:u w:val="single"/>
                <w:lang w:val="en-GB"/>
              </w:rPr>
              <w:t xml:space="preserve">: </w:t>
            </w:r>
          </w:p>
          <w:p w14:paraId="3CE431AC" w14:textId="77777777" w:rsidR="00592800" w:rsidRPr="00A204D5" w:rsidRDefault="00592800" w:rsidP="000B3CFF">
            <w:pPr>
              <w:jc w:val="both"/>
              <w:rPr>
                <w:rFonts w:asciiTheme="majorHAnsi" w:hAnsiTheme="majorHAnsi" w:cs="Times New Roman"/>
                <w:iCs/>
                <w:color w:val="000000" w:themeColor="text1"/>
                <w:sz w:val="16"/>
                <w:szCs w:val="16"/>
                <w:lang w:val="en-GB"/>
              </w:rPr>
            </w:pPr>
          </w:p>
          <w:p w14:paraId="195262FC" w14:textId="387C4293" w:rsidR="00592800" w:rsidRPr="00A204D5" w:rsidRDefault="00592800" w:rsidP="000B3CFF">
            <w:pPr>
              <w:pStyle w:val="ListParagraph"/>
              <w:numPr>
                <w:ilvl w:val="0"/>
                <w:numId w:val="21"/>
              </w:numPr>
              <w:jc w:val="both"/>
              <w:rPr>
                <w:rFonts w:asciiTheme="majorHAnsi" w:hAnsiTheme="majorHAnsi" w:cs="Times New Roman"/>
                <w:iCs/>
                <w:color w:val="000000" w:themeColor="text1"/>
                <w:sz w:val="16"/>
                <w:szCs w:val="16"/>
                <w:lang w:val="en-GB"/>
              </w:rPr>
            </w:pPr>
            <w:r w:rsidRPr="00A204D5">
              <w:rPr>
                <w:rFonts w:asciiTheme="majorHAnsi" w:hAnsiTheme="majorHAnsi" w:cs="Times New Roman"/>
                <w:b/>
                <w:iCs/>
                <w:color w:val="000000" w:themeColor="text1"/>
                <w:sz w:val="16"/>
                <w:szCs w:val="16"/>
                <w:lang w:val="en-GB"/>
              </w:rPr>
              <w:t>The strong dependence of the economy on fossil energy exportation and continuous exploitation.</w:t>
            </w:r>
            <w:r w:rsidRPr="00A204D5">
              <w:rPr>
                <w:rFonts w:asciiTheme="majorHAnsi" w:hAnsiTheme="majorHAnsi" w:cs="Times New Roman"/>
                <w:iCs/>
                <w:color w:val="000000" w:themeColor="text1"/>
                <w:sz w:val="16"/>
                <w:szCs w:val="16"/>
                <w:lang w:val="en-GB"/>
              </w:rPr>
              <w:t xml:space="preserve"> </w:t>
            </w:r>
            <w:r w:rsidRPr="00A204D5">
              <w:rPr>
                <w:rFonts w:asciiTheme="majorHAnsi" w:hAnsiTheme="majorHAnsi" w:cs="Times New Roman"/>
                <w:bCs/>
                <w:iCs/>
                <w:color w:val="000000" w:themeColor="text1"/>
                <w:sz w:val="16"/>
                <w:szCs w:val="16"/>
                <w:lang w:val="en-GB"/>
              </w:rPr>
              <w:t>Exports of fossil fuels and products of extractive industries were</w:t>
            </w:r>
            <w:r w:rsidRPr="00A204D5">
              <w:rPr>
                <w:rFonts w:asciiTheme="majorHAnsi" w:hAnsiTheme="majorHAnsi" w:cs="Times New Roman"/>
                <w:iCs/>
                <w:color w:val="000000" w:themeColor="text1"/>
                <w:sz w:val="16"/>
                <w:szCs w:val="16"/>
                <w:lang w:val="en-GB"/>
              </w:rPr>
              <w:t xml:space="preserve"> </w:t>
            </w:r>
            <w:r w:rsidRPr="00A204D5">
              <w:rPr>
                <w:rFonts w:asciiTheme="majorHAnsi" w:hAnsiTheme="majorHAnsi" w:cs="Times New Roman"/>
                <w:bCs/>
                <w:iCs/>
                <w:color w:val="000000" w:themeColor="text1"/>
                <w:sz w:val="16"/>
                <w:szCs w:val="16"/>
                <w:lang w:val="en-GB"/>
              </w:rPr>
              <w:t>in average 60% of the national exports in the last 10 years, corresponding to about 8% of the country</w:t>
            </w:r>
            <w:r w:rsidR="003662DE">
              <w:rPr>
                <w:rFonts w:asciiTheme="majorHAnsi" w:hAnsiTheme="majorHAnsi" w:cs="Times New Roman"/>
                <w:bCs/>
                <w:iCs/>
                <w:color w:val="000000" w:themeColor="text1"/>
                <w:sz w:val="16"/>
                <w:szCs w:val="16"/>
                <w:lang w:val="en-GB"/>
              </w:rPr>
              <w:t>’</w:t>
            </w:r>
            <w:r w:rsidRPr="00A204D5">
              <w:rPr>
                <w:rFonts w:asciiTheme="majorHAnsi" w:hAnsiTheme="majorHAnsi" w:cs="Times New Roman"/>
                <w:bCs/>
                <w:iCs/>
                <w:color w:val="000000" w:themeColor="text1"/>
                <w:sz w:val="16"/>
                <w:szCs w:val="16"/>
                <w:lang w:val="en-GB"/>
              </w:rPr>
              <w:t>s GDP (DANE, 2020b)</w:t>
            </w:r>
            <w:r w:rsidRPr="00A204D5">
              <w:rPr>
                <w:rFonts w:asciiTheme="majorHAnsi" w:hAnsiTheme="majorHAnsi" w:cs="Times New Roman"/>
                <w:iCs/>
                <w:color w:val="000000" w:themeColor="text1"/>
                <w:sz w:val="16"/>
                <w:szCs w:val="16"/>
                <w:lang w:val="en-GB"/>
              </w:rPr>
              <w:t xml:space="preserve">; </w:t>
            </w:r>
            <w:r w:rsidRPr="00A204D5">
              <w:rPr>
                <w:rFonts w:asciiTheme="majorHAnsi" w:hAnsiTheme="majorHAnsi" w:cs="Times New Roman"/>
                <w:bCs/>
                <w:iCs/>
                <w:color w:val="000000" w:themeColor="text1"/>
                <w:sz w:val="16"/>
                <w:szCs w:val="16"/>
                <w:lang w:val="en-GB"/>
              </w:rPr>
              <w:t>90% of Colombia</w:t>
            </w:r>
            <w:r w:rsidR="00D302A4">
              <w:rPr>
                <w:rFonts w:asciiTheme="majorHAnsi" w:hAnsiTheme="majorHAnsi" w:cs="Times New Roman"/>
                <w:bCs/>
                <w:iCs/>
                <w:color w:val="000000" w:themeColor="text1"/>
                <w:sz w:val="16"/>
                <w:szCs w:val="16"/>
                <w:lang w:val="en-GB"/>
              </w:rPr>
              <w:t>’</w:t>
            </w:r>
            <w:r w:rsidRPr="00A204D5">
              <w:rPr>
                <w:rFonts w:asciiTheme="majorHAnsi" w:hAnsiTheme="majorHAnsi" w:cs="Times New Roman"/>
                <w:bCs/>
                <w:iCs/>
                <w:color w:val="000000" w:themeColor="text1"/>
                <w:sz w:val="16"/>
                <w:szCs w:val="16"/>
                <w:lang w:val="en-GB"/>
              </w:rPr>
              <w:t>s coal is exported and it is the world’s sixth largest coal exporter</w:t>
            </w:r>
            <w:r w:rsidR="00D302A4">
              <w:rPr>
                <w:rFonts w:asciiTheme="majorHAnsi" w:hAnsiTheme="majorHAnsi" w:cs="Times New Roman"/>
                <w:bCs/>
                <w:iCs/>
                <w:color w:val="000000" w:themeColor="text1"/>
                <w:sz w:val="16"/>
                <w:szCs w:val="16"/>
                <w:lang w:val="en-GB"/>
              </w:rPr>
              <w:t>,</w:t>
            </w:r>
            <w:r w:rsidRPr="00A204D5">
              <w:rPr>
                <w:rFonts w:asciiTheme="majorHAnsi" w:hAnsiTheme="majorHAnsi" w:cs="Times New Roman"/>
                <w:bCs/>
                <w:iCs/>
                <w:color w:val="000000" w:themeColor="text1"/>
                <w:sz w:val="16"/>
                <w:szCs w:val="16"/>
                <w:lang w:val="en-GB"/>
              </w:rPr>
              <w:t xml:space="preserve"> with coal mining only representing about 1.3% of the country’s GDP (Strambo and González, 2020)</w:t>
            </w:r>
            <w:r w:rsidRPr="00A204D5">
              <w:rPr>
                <w:rFonts w:asciiTheme="majorHAnsi" w:hAnsiTheme="majorHAnsi" w:cs="Times New Roman"/>
                <w:iCs/>
                <w:color w:val="000000" w:themeColor="text1"/>
                <w:sz w:val="16"/>
                <w:szCs w:val="16"/>
                <w:lang w:val="en-GB"/>
              </w:rPr>
              <w:t xml:space="preserve">. </w:t>
            </w:r>
            <w:r w:rsidRPr="00A204D5">
              <w:rPr>
                <w:rFonts w:asciiTheme="majorHAnsi" w:hAnsiTheme="majorHAnsi" w:cs="Times New Roman"/>
                <w:bCs/>
                <w:iCs/>
                <w:color w:val="000000" w:themeColor="text1"/>
                <w:sz w:val="16"/>
                <w:szCs w:val="16"/>
                <w:lang w:val="en-GB"/>
              </w:rPr>
              <w:t>Colombia also has 38 fossil fuel projects operating</w:t>
            </w:r>
            <w:r w:rsidRPr="00A204D5">
              <w:rPr>
                <w:rFonts w:asciiTheme="majorHAnsi" w:hAnsiTheme="majorHAnsi" w:cs="Times New Roman"/>
                <w:iCs/>
                <w:color w:val="000000" w:themeColor="text1"/>
                <w:sz w:val="16"/>
                <w:szCs w:val="16"/>
                <w:lang w:val="en-GB"/>
              </w:rPr>
              <w:t xml:space="preserve">, divided into 4 LNG terminals, 8 oil pipelines, 3 gas pipelines, and 23 coal-fired units (Browning et al., 2020) </w:t>
            </w:r>
            <w:r w:rsidRPr="00A204D5">
              <w:rPr>
                <w:rFonts w:asciiTheme="majorHAnsi" w:hAnsiTheme="majorHAnsi" w:cs="Times New Roman"/>
                <w:bCs/>
                <w:iCs/>
                <w:color w:val="000000" w:themeColor="text1"/>
                <w:sz w:val="16"/>
                <w:szCs w:val="16"/>
                <w:lang w:val="en-GB"/>
              </w:rPr>
              <w:t xml:space="preserve">and is investing in continuous exploration of oil and gas, including USD920 million in 2020 (70% onshore and 30% offshore) (Asociación Colombiana de Petróleo, 2020). </w:t>
            </w:r>
            <w:r w:rsidRPr="00A204D5">
              <w:rPr>
                <w:rFonts w:asciiTheme="majorHAnsi" w:hAnsiTheme="majorHAnsi" w:cs="Times New Roman"/>
                <w:iCs/>
                <w:color w:val="000000" w:themeColor="text1"/>
                <w:sz w:val="16"/>
                <w:szCs w:val="16"/>
                <w:lang w:val="en-GB"/>
              </w:rPr>
              <w:t xml:space="preserve">Besides, </w:t>
            </w:r>
            <w:r w:rsidRPr="00A204D5">
              <w:rPr>
                <w:rFonts w:asciiTheme="majorHAnsi" w:hAnsiTheme="majorHAnsi" w:cs="Times New Roman"/>
                <w:bCs/>
                <w:iCs/>
                <w:color w:val="000000" w:themeColor="text1"/>
                <w:sz w:val="16"/>
                <w:szCs w:val="16"/>
                <w:lang w:val="en-GB"/>
              </w:rPr>
              <w:t>on the national budget 2019-2022, USD32.1 billion are provided for the energy and mining sectors which can be directly considered not consistent with Paris (11.15% of the total budget</w:t>
            </w:r>
            <w:r w:rsidRPr="00A204D5">
              <w:rPr>
                <w:rFonts w:asciiTheme="majorHAnsi" w:hAnsiTheme="majorHAnsi" w:cs="Times New Roman"/>
                <w:iCs/>
                <w:color w:val="000000" w:themeColor="text1"/>
                <w:sz w:val="16"/>
                <w:szCs w:val="16"/>
                <w:lang w:val="en-GB"/>
              </w:rPr>
              <w:t>) (Congreso de Colombia, 2019); however, an unidentified percentage of this budget is specific to renewable energy.</w:t>
            </w:r>
          </w:p>
          <w:p w14:paraId="08AC2CAD" w14:textId="77777777" w:rsidR="00592800" w:rsidRPr="00A204D5" w:rsidRDefault="00592800" w:rsidP="000B3CFF">
            <w:pPr>
              <w:pStyle w:val="ListParagraph"/>
              <w:numPr>
                <w:ilvl w:val="0"/>
                <w:numId w:val="21"/>
              </w:numPr>
              <w:jc w:val="both"/>
              <w:rPr>
                <w:rFonts w:asciiTheme="majorHAnsi" w:hAnsiTheme="majorHAnsi" w:cs="Times New Roman"/>
                <w:iCs/>
                <w:color w:val="000000" w:themeColor="text1"/>
                <w:sz w:val="16"/>
                <w:szCs w:val="16"/>
                <w:lang w:val="en-GB"/>
              </w:rPr>
            </w:pPr>
            <w:r w:rsidRPr="00A204D5">
              <w:rPr>
                <w:rFonts w:asciiTheme="majorHAnsi" w:hAnsiTheme="majorHAnsi" w:cs="Times New Roman"/>
                <w:b/>
                <w:iCs/>
                <w:color w:val="000000" w:themeColor="text1"/>
                <w:sz w:val="16"/>
                <w:szCs w:val="16"/>
                <w:lang w:val="en-GB"/>
              </w:rPr>
              <w:t>The economic relevance of fossil fuels to public investments.</w:t>
            </w:r>
            <w:r w:rsidRPr="00A204D5">
              <w:rPr>
                <w:rFonts w:asciiTheme="majorHAnsi" w:hAnsiTheme="majorHAnsi" w:cs="Times New Roman"/>
                <w:iCs/>
                <w:color w:val="000000" w:themeColor="text1"/>
                <w:sz w:val="16"/>
                <w:szCs w:val="16"/>
                <w:lang w:val="en-GB"/>
              </w:rPr>
              <w:t xml:space="preserve"> A General Royalties System, GRS is in place whereby individuals pay the right to exploit non-renewable natural resources that belong to the State (EITI, 2019), in this case, mining and hydrocarbons, thus encouraging more favourable environments for the exploration and production of these resources to generate incomes that can be translated into public investment projects in the regions from where the resource is extracted through a regional savings and stabilization Fund (Ministerio de Minas y Energía, 2020b). </w:t>
            </w:r>
            <w:r w:rsidRPr="00A204D5">
              <w:rPr>
                <w:rFonts w:asciiTheme="majorHAnsi" w:hAnsiTheme="majorHAnsi" w:cs="Times New Roman"/>
                <w:bCs/>
                <w:iCs/>
                <w:color w:val="000000" w:themeColor="text1"/>
                <w:sz w:val="16"/>
                <w:szCs w:val="16"/>
                <w:lang w:val="en-GB"/>
              </w:rPr>
              <w:t xml:space="preserve">During the period 2019-2020 (up to July 2020), resources collected and transferred in the General Royalties System amounted to USD3.28 billion, out of which hydrocarbons accounted for USD2.33 billion (71%) and mining USD0.95 billion (29%). This System represents 3.1% of the public budget </w:t>
            </w:r>
            <w:r w:rsidRPr="00A204D5">
              <w:rPr>
                <w:rFonts w:asciiTheme="majorHAnsi" w:hAnsiTheme="majorHAnsi" w:cs="Times New Roman"/>
                <w:iCs/>
                <w:color w:val="000000" w:themeColor="text1"/>
                <w:sz w:val="16"/>
                <w:szCs w:val="16"/>
                <w:lang w:val="en-GB"/>
              </w:rPr>
              <w:t>for the implementation of the National Development Plan 2019-2022 (Congreso de Colombia, 2019) and 20% of these royalties are directed to climate finance (DNP, 2020).</w:t>
            </w:r>
          </w:p>
          <w:p w14:paraId="503A9521" w14:textId="1212D3E7" w:rsidR="00592800" w:rsidRPr="00A204D5" w:rsidRDefault="00592800" w:rsidP="000B3CFF">
            <w:pPr>
              <w:pStyle w:val="ListParagraph"/>
              <w:numPr>
                <w:ilvl w:val="0"/>
                <w:numId w:val="21"/>
              </w:numPr>
              <w:jc w:val="both"/>
              <w:rPr>
                <w:rFonts w:asciiTheme="majorHAnsi" w:hAnsiTheme="majorHAnsi" w:cs="Times New Roman"/>
                <w:iCs/>
                <w:color w:val="000000" w:themeColor="text1"/>
                <w:sz w:val="16"/>
                <w:szCs w:val="16"/>
                <w:lang w:val="en-GB"/>
              </w:rPr>
            </w:pPr>
            <w:r w:rsidRPr="00A204D5">
              <w:rPr>
                <w:rFonts w:asciiTheme="majorHAnsi" w:hAnsiTheme="majorHAnsi" w:cs="Times New Roman"/>
                <w:b/>
                <w:iCs/>
                <w:color w:val="000000" w:themeColor="text1"/>
                <w:sz w:val="16"/>
                <w:szCs w:val="16"/>
                <w:lang w:val="en-GB"/>
              </w:rPr>
              <w:t>The current subsidisation of fossil fuels</w:t>
            </w:r>
            <w:r w:rsidRPr="00A204D5">
              <w:rPr>
                <w:rFonts w:asciiTheme="majorHAnsi" w:hAnsiTheme="majorHAnsi" w:cs="Times New Roman"/>
                <w:iCs/>
                <w:color w:val="000000" w:themeColor="text1"/>
                <w:sz w:val="16"/>
                <w:szCs w:val="16"/>
                <w:lang w:val="en-GB"/>
              </w:rPr>
              <w:t xml:space="preserve">. Since 2014, </w:t>
            </w:r>
            <w:r w:rsidRPr="00A204D5">
              <w:rPr>
                <w:rFonts w:asciiTheme="majorHAnsi" w:hAnsiTheme="majorHAnsi" w:cs="Times New Roman"/>
                <w:bCs/>
                <w:iCs/>
                <w:color w:val="000000" w:themeColor="text1"/>
                <w:sz w:val="16"/>
                <w:szCs w:val="16"/>
                <w:lang w:val="en-GB"/>
              </w:rPr>
              <w:t>USD 33.1 billion have been spent in subsidies completely on petroleum (Ministerio de Hacienda, 2020) and an accumulated deficit of these subsidies amount to more than 1.3% of the country</w:t>
            </w:r>
            <w:r w:rsidR="00D54299">
              <w:rPr>
                <w:rFonts w:asciiTheme="majorHAnsi" w:hAnsiTheme="majorHAnsi" w:cs="Times New Roman"/>
                <w:bCs/>
                <w:iCs/>
                <w:color w:val="000000" w:themeColor="text1"/>
                <w:sz w:val="16"/>
                <w:szCs w:val="16"/>
                <w:lang w:val="en-GB"/>
              </w:rPr>
              <w:t>’</w:t>
            </w:r>
            <w:r w:rsidRPr="00A204D5">
              <w:rPr>
                <w:rFonts w:asciiTheme="majorHAnsi" w:hAnsiTheme="majorHAnsi" w:cs="Times New Roman"/>
                <w:bCs/>
                <w:iCs/>
                <w:color w:val="000000" w:themeColor="text1"/>
                <w:sz w:val="16"/>
                <w:szCs w:val="16"/>
                <w:lang w:val="en-GB"/>
              </w:rPr>
              <w:t xml:space="preserve">s GDP (~USD 4.3 billion). At the same time, USD 550 million are spent in annual subsidies to electricity (90% of households) and gas (60% of households) </w:t>
            </w:r>
            <w:r w:rsidRPr="00A204D5">
              <w:rPr>
                <w:rFonts w:asciiTheme="majorHAnsi" w:hAnsiTheme="majorHAnsi" w:cs="Times New Roman"/>
                <w:iCs/>
                <w:color w:val="000000" w:themeColor="text1"/>
                <w:sz w:val="16"/>
                <w:szCs w:val="16"/>
                <w:lang w:val="en-GB"/>
              </w:rPr>
              <w:t>while at least 40% of the subsidized households receiving subsidies do not live under poverty lines (Ortiz Jara et al., 2020).</w:t>
            </w:r>
          </w:p>
          <w:p w14:paraId="7277FA3D" w14:textId="77777777" w:rsidR="00592800" w:rsidRPr="00A204D5" w:rsidRDefault="00592800" w:rsidP="000B3CFF">
            <w:pPr>
              <w:pStyle w:val="ListParagraph"/>
              <w:numPr>
                <w:ilvl w:val="0"/>
                <w:numId w:val="21"/>
              </w:numPr>
              <w:jc w:val="both"/>
              <w:rPr>
                <w:rFonts w:asciiTheme="majorHAnsi" w:hAnsiTheme="majorHAnsi" w:cs="Times New Roman"/>
                <w:iCs/>
                <w:color w:val="000000" w:themeColor="text1"/>
                <w:sz w:val="16"/>
                <w:szCs w:val="16"/>
                <w:lang w:val="en-GB"/>
              </w:rPr>
            </w:pPr>
            <w:r w:rsidRPr="00A204D5">
              <w:rPr>
                <w:rFonts w:asciiTheme="majorHAnsi" w:hAnsiTheme="majorHAnsi" w:cs="Times New Roman"/>
                <w:b/>
                <w:iCs/>
                <w:color w:val="000000" w:themeColor="text1"/>
                <w:sz w:val="16"/>
                <w:szCs w:val="16"/>
                <w:lang w:val="en-GB"/>
              </w:rPr>
              <w:lastRenderedPageBreak/>
              <w:t>The projected intensification in demand of energy for the future decades</w:t>
            </w:r>
            <w:r w:rsidRPr="00A204D5">
              <w:rPr>
                <w:rFonts w:asciiTheme="majorHAnsi" w:hAnsiTheme="majorHAnsi" w:cs="Times New Roman"/>
                <w:iCs/>
                <w:color w:val="000000" w:themeColor="text1"/>
                <w:sz w:val="16"/>
                <w:szCs w:val="16"/>
                <w:lang w:val="en-GB"/>
              </w:rPr>
              <w:t xml:space="preserve"> due to higher incomes and its consequent impact on increased GHG emissions (Delgado et al., 2020). </w:t>
            </w:r>
          </w:p>
          <w:p w14:paraId="7FC7DB89" w14:textId="77777777" w:rsidR="00592800" w:rsidRPr="00A204D5" w:rsidRDefault="00592800" w:rsidP="000B3CFF">
            <w:pPr>
              <w:jc w:val="both"/>
              <w:rPr>
                <w:rFonts w:asciiTheme="majorHAnsi" w:hAnsiTheme="majorHAnsi" w:cs="Times New Roman"/>
                <w:iCs/>
                <w:color w:val="000000" w:themeColor="text1"/>
                <w:sz w:val="16"/>
                <w:szCs w:val="16"/>
                <w:lang w:val="en-GB"/>
              </w:rPr>
            </w:pPr>
          </w:p>
          <w:p w14:paraId="313E0DD5" w14:textId="77777777" w:rsidR="00592800" w:rsidRPr="00A204D5" w:rsidRDefault="00592800" w:rsidP="000B3CFF">
            <w:pPr>
              <w:jc w:val="both"/>
              <w:rPr>
                <w:rFonts w:asciiTheme="majorHAnsi" w:hAnsiTheme="majorHAnsi" w:cs="Times New Roman"/>
                <w:iCs/>
                <w:color w:val="000000" w:themeColor="text1"/>
                <w:sz w:val="16"/>
                <w:szCs w:val="16"/>
                <w:lang w:val="en-GB"/>
              </w:rPr>
            </w:pPr>
            <w:r w:rsidRPr="00A204D5">
              <w:rPr>
                <w:rFonts w:asciiTheme="majorHAnsi" w:hAnsiTheme="majorHAnsi" w:cs="Times New Roman"/>
                <w:iCs/>
                <w:color w:val="000000" w:themeColor="text1"/>
                <w:sz w:val="16"/>
                <w:szCs w:val="16"/>
                <w:lang w:val="en-GB"/>
              </w:rPr>
              <w:t>The transformation of the Colombian energy system ought to put at its centre the diversification of energy sources. This includes to diversify the economic dependence on fossil fuel exports and to include non-conventional renewable technologies and electricity as the main sources of energy (Ministerio de Minas y Energía, 2020c) so to reduce the economic and energetic share of fossil fuels, including natural gas. Such diversification would require a strong emphasis on urban planning and public transportation, early planning of electrification of public transport systems (Delgado et al., 2020), as well as a framework of just transition that acknowledges the impacts on the economy of reducing, redirecting or better focusing current fossil fuel subsidies</w:t>
            </w:r>
            <w:r w:rsidRPr="00A204D5">
              <w:rPr>
                <w:rFonts w:asciiTheme="majorHAnsi" w:hAnsiTheme="majorHAnsi" w:cs="Times New Roman"/>
                <w:b/>
                <w:bCs/>
                <w:iCs/>
                <w:color w:val="000000" w:themeColor="text1"/>
                <w:sz w:val="16"/>
                <w:szCs w:val="16"/>
                <w:lang w:val="en-GB"/>
              </w:rPr>
              <w:t xml:space="preserve">, </w:t>
            </w:r>
            <w:r w:rsidRPr="00A204D5">
              <w:rPr>
                <w:rFonts w:asciiTheme="majorHAnsi" w:hAnsiTheme="majorHAnsi" w:cs="Times New Roman"/>
                <w:iCs/>
                <w:color w:val="000000" w:themeColor="text1"/>
                <w:sz w:val="16"/>
                <w:szCs w:val="16"/>
                <w:lang w:val="en-GB"/>
              </w:rPr>
              <w:t>diminishing or redirecting the current dependence on fossil fuel royalties to low-emissions social investments/enhance or create industries where Colombia has a comparative advantage and avoiding the risk of fossil fuels related stranded assets (in 2019, the Government reported that non-renewable natural resources assets represented 6.6% of its GDP (Bohórquez Ramírez, P., 2020)).</w:t>
            </w:r>
          </w:p>
          <w:p w14:paraId="34A56FFC" w14:textId="77777777" w:rsidR="00592800" w:rsidRPr="00A204D5" w:rsidRDefault="00592800" w:rsidP="000B3CFF">
            <w:pPr>
              <w:jc w:val="both"/>
              <w:rPr>
                <w:rFonts w:asciiTheme="majorHAnsi" w:hAnsiTheme="majorHAnsi"/>
                <w:color w:val="000000" w:themeColor="text1"/>
                <w:sz w:val="16"/>
                <w:szCs w:val="16"/>
                <w:lang w:val="en-GB"/>
              </w:rPr>
            </w:pPr>
          </w:p>
          <w:p w14:paraId="49C5D496" w14:textId="7757F7DE" w:rsidR="00592800" w:rsidRPr="00A204D5" w:rsidRDefault="00592800" w:rsidP="000B3CFF">
            <w:pPr>
              <w:jc w:val="both"/>
              <w:rPr>
                <w:rFonts w:asciiTheme="majorHAnsi" w:hAnsiTheme="majorHAnsi" w:cs="Times New Roman"/>
                <w:color w:val="000000" w:themeColor="text1"/>
                <w:sz w:val="16"/>
                <w:szCs w:val="16"/>
                <w:lang w:val="en-GB"/>
              </w:rPr>
            </w:pPr>
            <w:r w:rsidRPr="00A204D5">
              <w:rPr>
                <w:rFonts w:asciiTheme="majorHAnsi" w:hAnsiTheme="majorHAnsi" w:cs="Times New Roman"/>
                <w:color w:val="000000" w:themeColor="text1"/>
                <w:sz w:val="16"/>
                <w:szCs w:val="16"/>
                <w:lang w:val="en-GB"/>
              </w:rPr>
              <w:t>Like most developing nations, Colombia</w:t>
            </w:r>
            <w:r w:rsidR="00D54299">
              <w:rPr>
                <w:rFonts w:asciiTheme="majorHAnsi" w:hAnsiTheme="majorHAnsi" w:cs="Times New Roman"/>
                <w:color w:val="000000" w:themeColor="text1"/>
                <w:sz w:val="16"/>
                <w:szCs w:val="16"/>
                <w:lang w:val="en-GB"/>
              </w:rPr>
              <w:t>’</w:t>
            </w:r>
            <w:r w:rsidRPr="00A204D5">
              <w:rPr>
                <w:rFonts w:asciiTheme="majorHAnsi" w:hAnsiTheme="majorHAnsi" w:cs="Times New Roman"/>
                <w:color w:val="000000" w:themeColor="text1"/>
                <w:sz w:val="16"/>
                <w:szCs w:val="16"/>
                <w:lang w:val="en-GB"/>
              </w:rPr>
              <w:t>s early climate action focussed on the elaboration of National Communications (2001, 2010) as well as the implementation of the Clean Development Mechanism (CDM)</w:t>
            </w:r>
            <w:r w:rsidRPr="00A204D5">
              <w:rPr>
                <w:rFonts w:asciiTheme="majorHAnsi" w:hAnsiTheme="majorHAnsi"/>
                <w:color w:val="000000" w:themeColor="text1"/>
                <w:sz w:val="16"/>
                <w:szCs w:val="16"/>
                <w:lang w:val="en-GB"/>
              </w:rPr>
              <w:t xml:space="preserve"> </w:t>
            </w:r>
            <w:r w:rsidRPr="00A204D5">
              <w:rPr>
                <w:rFonts w:asciiTheme="majorHAnsi" w:hAnsiTheme="majorHAnsi" w:cs="Times New Roman"/>
                <w:color w:val="000000" w:themeColor="text1"/>
                <w:sz w:val="16"/>
                <w:szCs w:val="16"/>
                <w:lang w:val="en-GB"/>
              </w:rPr>
              <w:t>of the Kyoto Protocol followed by Nationally Appropriate Mitigation Actions (NAMAs) both aiming to attract international resources to domestic climate action. Nevertheless, in the last decade Colombia has seen an increasing number of public and private climate actions, policies and investments. Amongst these, the most relevant are the Climate Change National Policy (2017) and the Climate Change Law (2018), which have enabled more specific institutional, financial and economic instruments (i.e. the National Strategy on Climate Finance -2017, the Carbon Tax -2017-, Renewable Energy Auctions -2019-, and the Adaptation Fund -2010-). These recent policies and investments are mostly driven by the implementation of the Paris Agreement, which in turn has led to the adoption of a domestic long-term goal to reach carbon neutrality by mid-century (Presidencia de Colombia, 2019) and an updated 2020 NDC with the goal to reduce 51% of its GHG emissions by 2030 (Gobierno de Colombia, 2020)</w:t>
            </w:r>
          </w:p>
          <w:p w14:paraId="4579679E" w14:textId="77777777" w:rsidR="00592800" w:rsidRPr="00A204D5" w:rsidRDefault="00592800" w:rsidP="000B3CFF">
            <w:pPr>
              <w:jc w:val="both"/>
              <w:rPr>
                <w:rFonts w:asciiTheme="majorHAnsi" w:hAnsiTheme="majorHAnsi"/>
                <w:color w:val="000000" w:themeColor="text1"/>
                <w:sz w:val="16"/>
                <w:szCs w:val="16"/>
                <w:lang w:val="en-GB"/>
              </w:rPr>
            </w:pPr>
          </w:p>
          <w:p w14:paraId="5D88EC2B" w14:textId="6DA46A64" w:rsidR="00592800" w:rsidRPr="00A204D5" w:rsidRDefault="00592800" w:rsidP="000B3CFF">
            <w:pPr>
              <w:jc w:val="both"/>
              <w:rPr>
                <w:rFonts w:asciiTheme="majorHAnsi" w:hAnsiTheme="majorHAnsi" w:cs="Times New Roman"/>
                <w:color w:val="000000" w:themeColor="text1"/>
                <w:sz w:val="16"/>
                <w:szCs w:val="16"/>
                <w:lang w:val="en-GB"/>
              </w:rPr>
            </w:pPr>
            <w:r w:rsidRPr="00A204D5">
              <w:rPr>
                <w:rFonts w:asciiTheme="majorHAnsi" w:hAnsiTheme="majorHAnsi" w:cs="Times New Roman"/>
                <w:color w:val="000000" w:themeColor="text1"/>
                <w:sz w:val="16"/>
                <w:szCs w:val="16"/>
                <w:lang w:val="en-GB"/>
              </w:rPr>
              <w:t xml:space="preserve">At the moment, only a small percentage of public and private financial flows in Colombia are consistent with trajectories of low-emissions, resilient development, as per Figures </w:t>
            </w:r>
            <w:r w:rsidR="000671D4">
              <w:rPr>
                <w:rFonts w:asciiTheme="majorHAnsi" w:hAnsiTheme="majorHAnsi" w:cs="Times New Roman"/>
                <w:color w:val="000000" w:themeColor="text1"/>
                <w:sz w:val="16"/>
                <w:szCs w:val="16"/>
                <w:lang w:val="en-GB"/>
              </w:rPr>
              <w:t>2</w:t>
            </w:r>
            <w:r w:rsidRPr="00A204D5">
              <w:rPr>
                <w:rFonts w:asciiTheme="majorHAnsi" w:hAnsiTheme="majorHAnsi" w:cs="Times New Roman"/>
                <w:color w:val="000000" w:themeColor="text1"/>
                <w:sz w:val="16"/>
                <w:szCs w:val="16"/>
                <w:lang w:val="en-GB"/>
              </w:rPr>
              <w:t xml:space="preserve"> &amp; </w:t>
            </w:r>
            <w:r w:rsidR="000671D4">
              <w:rPr>
                <w:rFonts w:asciiTheme="majorHAnsi" w:hAnsiTheme="majorHAnsi" w:cs="Times New Roman"/>
                <w:color w:val="000000" w:themeColor="text1"/>
                <w:sz w:val="16"/>
                <w:szCs w:val="16"/>
                <w:lang w:val="en-GB"/>
              </w:rPr>
              <w:t>3</w:t>
            </w:r>
            <w:r w:rsidRPr="00A204D5">
              <w:rPr>
                <w:rFonts w:asciiTheme="majorHAnsi" w:hAnsiTheme="majorHAnsi" w:cs="Times New Roman"/>
                <w:color w:val="000000" w:themeColor="text1"/>
                <w:sz w:val="16"/>
                <w:szCs w:val="16"/>
                <w:lang w:val="en-GB"/>
              </w:rPr>
              <w:t xml:space="preserve"> below. </w:t>
            </w:r>
          </w:p>
          <w:p w14:paraId="68D90A4E" w14:textId="77777777" w:rsidR="00592800" w:rsidRPr="00A204D5" w:rsidRDefault="00592800" w:rsidP="000B3CFF">
            <w:pPr>
              <w:jc w:val="both"/>
              <w:rPr>
                <w:rFonts w:asciiTheme="majorHAnsi" w:hAnsiTheme="majorHAnsi" w:cstheme="minorHAnsi"/>
                <w:color w:val="000000" w:themeColor="text1"/>
                <w:sz w:val="16"/>
                <w:szCs w:val="16"/>
                <w:lang w:val="en-GB"/>
              </w:rPr>
            </w:pPr>
          </w:p>
          <w:p w14:paraId="696D469F" w14:textId="77777777" w:rsidR="00592800" w:rsidRPr="00A204D5" w:rsidRDefault="00592800" w:rsidP="000B3CFF">
            <w:pPr>
              <w:jc w:val="both"/>
              <w:rPr>
                <w:rFonts w:asciiTheme="majorHAnsi" w:hAnsiTheme="majorHAnsi" w:cstheme="minorHAnsi"/>
                <w:b/>
                <w:bCs/>
                <w:color w:val="000000" w:themeColor="text1"/>
                <w:sz w:val="16"/>
                <w:szCs w:val="16"/>
                <w:lang w:val="en-GB"/>
              </w:rPr>
            </w:pPr>
          </w:p>
          <w:p w14:paraId="203B3E5F" w14:textId="77777777" w:rsidR="00592800" w:rsidRPr="00A204D5" w:rsidRDefault="00592800" w:rsidP="000B3CFF">
            <w:pPr>
              <w:jc w:val="center"/>
              <w:rPr>
                <w:rFonts w:asciiTheme="majorHAnsi" w:hAnsiTheme="majorHAnsi" w:cstheme="minorHAnsi"/>
                <w:color w:val="000000" w:themeColor="text1"/>
                <w:sz w:val="16"/>
                <w:szCs w:val="16"/>
                <w:lang w:val="en-GB"/>
              </w:rPr>
            </w:pPr>
            <w:r w:rsidRPr="00A204D5">
              <w:rPr>
                <w:rFonts w:asciiTheme="majorHAnsi" w:hAnsiTheme="majorHAnsi" w:cstheme="minorHAnsi"/>
                <w:noProof/>
                <w:color w:val="000000" w:themeColor="text1"/>
                <w:sz w:val="16"/>
                <w:szCs w:val="16"/>
                <w:lang w:val="es-PE" w:eastAsia="es-PE"/>
              </w:rPr>
              <w:drawing>
                <wp:inline distT="0" distB="0" distL="0" distR="0" wp14:anchorId="3833E726" wp14:editId="3A377479">
                  <wp:extent cx="4668560" cy="3514890"/>
                  <wp:effectExtent l="0" t="0" r="5080" b="3175"/>
                  <wp:docPr id="1" name="Picture 1" descr="Chart, bubble chart&#10;&#10;Description automatically generated">
                    <a:extLst xmlns:a="http://schemas.openxmlformats.org/drawingml/2006/main">
                      <a:ext uri="{FF2B5EF4-FFF2-40B4-BE49-F238E27FC236}">
                        <a16:creationId xmlns:a16="http://schemas.microsoft.com/office/drawing/2014/main" id="{C0698AC8-9580-544B-92D1-0A58F3ED3F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ubble chart&#10;&#10;Description automatically generated">
                            <a:extLst>
                              <a:ext uri="{FF2B5EF4-FFF2-40B4-BE49-F238E27FC236}">
                                <a16:creationId xmlns:a16="http://schemas.microsoft.com/office/drawing/2014/main" id="{C0698AC8-9580-544B-92D1-0A58F3ED3F9D}"/>
                              </a:ext>
                            </a:extLst>
                          </pic:cNvPr>
                          <pic:cNvPicPr>
                            <a:picLocks noChangeAspect="1"/>
                          </pic:cNvPicPr>
                        </pic:nvPicPr>
                        <pic:blipFill>
                          <a:blip r:embed="rId14"/>
                          <a:stretch>
                            <a:fillRect/>
                          </a:stretch>
                        </pic:blipFill>
                        <pic:spPr>
                          <a:xfrm>
                            <a:off x="0" y="0"/>
                            <a:ext cx="4697377" cy="3536586"/>
                          </a:xfrm>
                          <a:prstGeom prst="rect">
                            <a:avLst/>
                          </a:prstGeom>
                        </pic:spPr>
                      </pic:pic>
                    </a:graphicData>
                  </a:graphic>
                </wp:inline>
              </w:drawing>
            </w:r>
          </w:p>
          <w:p w14:paraId="1BD4789D" w14:textId="2B858CB3" w:rsidR="00592800" w:rsidRPr="00A204D5" w:rsidRDefault="00592800" w:rsidP="000B3CFF">
            <w:pPr>
              <w:jc w:val="both"/>
              <w:rPr>
                <w:rFonts w:asciiTheme="majorHAnsi" w:hAnsiTheme="majorHAnsi" w:cstheme="minorHAnsi"/>
                <w:b/>
                <w:bCs/>
                <w:color w:val="000000" w:themeColor="text1"/>
                <w:sz w:val="16"/>
                <w:szCs w:val="16"/>
                <w:lang w:val="en-US"/>
              </w:rPr>
            </w:pPr>
            <w:r w:rsidRPr="000671D4">
              <w:rPr>
                <w:rFonts w:asciiTheme="majorHAnsi" w:hAnsiTheme="majorHAnsi" w:cstheme="minorHAnsi"/>
                <w:b/>
                <w:bCs/>
                <w:color w:val="000000" w:themeColor="text1"/>
                <w:sz w:val="16"/>
                <w:szCs w:val="16"/>
                <w:lang w:val="en-US"/>
              </w:rPr>
              <w:t xml:space="preserve">Figure </w:t>
            </w:r>
            <w:r w:rsidR="000671D4" w:rsidRPr="000671D4">
              <w:rPr>
                <w:rFonts w:asciiTheme="majorHAnsi" w:hAnsiTheme="majorHAnsi" w:cstheme="minorHAnsi"/>
                <w:b/>
                <w:bCs/>
                <w:color w:val="000000" w:themeColor="text1"/>
                <w:sz w:val="16"/>
                <w:szCs w:val="16"/>
                <w:lang w:val="en-US"/>
              </w:rPr>
              <w:t>2</w:t>
            </w:r>
            <w:r w:rsidRPr="000671D4">
              <w:rPr>
                <w:rFonts w:asciiTheme="majorHAnsi" w:hAnsiTheme="majorHAnsi" w:cstheme="minorHAnsi"/>
                <w:b/>
                <w:bCs/>
                <w:color w:val="000000" w:themeColor="text1"/>
                <w:sz w:val="16"/>
                <w:szCs w:val="16"/>
                <w:lang w:val="en-US"/>
              </w:rPr>
              <w:t>. Consistency of</w:t>
            </w:r>
            <w:r w:rsidRPr="00A204D5">
              <w:rPr>
                <w:rFonts w:asciiTheme="majorHAnsi" w:hAnsiTheme="majorHAnsi" w:cstheme="minorHAnsi"/>
                <w:b/>
                <w:bCs/>
                <w:color w:val="000000" w:themeColor="text1"/>
                <w:sz w:val="16"/>
                <w:szCs w:val="16"/>
                <w:lang w:val="en-US"/>
              </w:rPr>
              <w:t xml:space="preserve"> public finance flows with climate objectives in Colombia, in the context of wider finance flows</w:t>
            </w:r>
          </w:p>
          <w:p w14:paraId="4123D80E" w14:textId="77777777" w:rsidR="00592800" w:rsidRPr="00A204D5" w:rsidRDefault="00592800" w:rsidP="000B3CFF">
            <w:pPr>
              <w:jc w:val="both"/>
              <w:rPr>
                <w:rFonts w:asciiTheme="majorHAnsi" w:hAnsiTheme="majorHAnsi" w:cstheme="minorHAnsi"/>
                <w:color w:val="000000" w:themeColor="text1"/>
                <w:sz w:val="16"/>
                <w:szCs w:val="16"/>
                <w:lang w:val="en-GB"/>
              </w:rPr>
            </w:pPr>
          </w:p>
          <w:p w14:paraId="172473B2" w14:textId="77777777" w:rsidR="00592800" w:rsidRDefault="00592800" w:rsidP="000B3CFF">
            <w:pPr>
              <w:jc w:val="both"/>
              <w:rPr>
                <w:rFonts w:asciiTheme="majorHAnsi" w:hAnsiTheme="majorHAnsi" w:cstheme="minorHAnsi"/>
                <w:color w:val="000000" w:themeColor="text1"/>
                <w:sz w:val="16"/>
                <w:szCs w:val="16"/>
                <w:lang w:val="en-GB"/>
              </w:rPr>
            </w:pPr>
          </w:p>
          <w:p w14:paraId="6C7728A3" w14:textId="77777777" w:rsidR="00592800" w:rsidRDefault="00592800" w:rsidP="000B3CFF">
            <w:pPr>
              <w:jc w:val="both"/>
              <w:rPr>
                <w:rFonts w:asciiTheme="majorHAnsi" w:hAnsiTheme="majorHAnsi" w:cstheme="minorHAnsi"/>
                <w:color w:val="000000" w:themeColor="text1"/>
                <w:sz w:val="16"/>
                <w:szCs w:val="16"/>
                <w:lang w:val="en-GB"/>
              </w:rPr>
            </w:pPr>
          </w:p>
          <w:p w14:paraId="325EDF2A" w14:textId="77777777" w:rsidR="00592800" w:rsidRDefault="00592800" w:rsidP="000B3CFF">
            <w:pPr>
              <w:jc w:val="both"/>
              <w:rPr>
                <w:rFonts w:asciiTheme="majorHAnsi" w:hAnsiTheme="majorHAnsi" w:cstheme="minorHAnsi"/>
                <w:color w:val="000000" w:themeColor="text1"/>
                <w:sz w:val="16"/>
                <w:szCs w:val="16"/>
                <w:lang w:val="en-GB"/>
              </w:rPr>
            </w:pPr>
          </w:p>
          <w:p w14:paraId="7CA42219" w14:textId="77777777" w:rsidR="00592800" w:rsidRPr="00A204D5" w:rsidRDefault="00592800" w:rsidP="000B3CFF">
            <w:pPr>
              <w:jc w:val="both"/>
              <w:rPr>
                <w:rFonts w:asciiTheme="majorHAnsi" w:hAnsiTheme="majorHAnsi" w:cstheme="minorHAnsi"/>
                <w:color w:val="000000" w:themeColor="text1"/>
                <w:sz w:val="16"/>
                <w:szCs w:val="16"/>
                <w:lang w:val="en-GB"/>
              </w:rPr>
            </w:pPr>
          </w:p>
          <w:p w14:paraId="3FBD231A" w14:textId="77777777" w:rsidR="00592800" w:rsidRPr="00A204D5" w:rsidRDefault="00592800" w:rsidP="000B3CFF">
            <w:pPr>
              <w:jc w:val="center"/>
              <w:rPr>
                <w:rFonts w:asciiTheme="majorHAnsi" w:hAnsiTheme="majorHAnsi" w:cstheme="minorHAnsi"/>
                <w:color w:val="000000" w:themeColor="text1"/>
                <w:sz w:val="16"/>
                <w:szCs w:val="16"/>
                <w:lang w:val="en-GB"/>
              </w:rPr>
            </w:pPr>
            <w:r w:rsidRPr="00A204D5">
              <w:rPr>
                <w:rFonts w:asciiTheme="majorHAnsi" w:hAnsiTheme="majorHAnsi" w:cstheme="minorHAnsi"/>
                <w:noProof/>
                <w:color w:val="000000" w:themeColor="text1"/>
                <w:sz w:val="16"/>
                <w:szCs w:val="16"/>
                <w:lang w:val="es-PE" w:eastAsia="es-PE"/>
              </w:rPr>
              <w:lastRenderedPageBreak/>
              <w:drawing>
                <wp:inline distT="0" distB="0" distL="0" distR="0" wp14:anchorId="7C7C0D5C" wp14:editId="3E198699">
                  <wp:extent cx="4600099" cy="2251644"/>
                  <wp:effectExtent l="0" t="0" r="0" b="0"/>
                  <wp:docPr id="5" name="Picture 1" descr="A picture containing bar chart&#10;&#10;Description automatically generated">
                    <a:extLst xmlns:a="http://schemas.openxmlformats.org/drawingml/2006/main">
                      <a:ext uri="{FF2B5EF4-FFF2-40B4-BE49-F238E27FC236}">
                        <a16:creationId xmlns:a16="http://schemas.microsoft.com/office/drawing/2014/main" id="{7A5D880A-8282-9247-A5DF-AD95773DF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picture containing bar chart&#10;&#10;Description automatically generated">
                            <a:extLst>
                              <a:ext uri="{FF2B5EF4-FFF2-40B4-BE49-F238E27FC236}">
                                <a16:creationId xmlns:a16="http://schemas.microsoft.com/office/drawing/2014/main" id="{7A5D880A-8282-9247-A5DF-AD95773DF84B}"/>
                              </a:ext>
                            </a:extLst>
                          </pic:cNvPr>
                          <pic:cNvPicPr>
                            <a:picLocks noChangeAspect="1"/>
                          </pic:cNvPicPr>
                        </pic:nvPicPr>
                        <pic:blipFill>
                          <a:blip r:embed="rId15"/>
                          <a:stretch>
                            <a:fillRect/>
                          </a:stretch>
                        </pic:blipFill>
                        <pic:spPr>
                          <a:xfrm>
                            <a:off x="0" y="0"/>
                            <a:ext cx="4622273" cy="2262498"/>
                          </a:xfrm>
                          <a:prstGeom prst="rect">
                            <a:avLst/>
                          </a:prstGeom>
                        </pic:spPr>
                      </pic:pic>
                    </a:graphicData>
                  </a:graphic>
                </wp:inline>
              </w:drawing>
            </w:r>
          </w:p>
          <w:p w14:paraId="55F86666" w14:textId="11D57B2A" w:rsidR="00592800" w:rsidRPr="00A204D5" w:rsidRDefault="00592800" w:rsidP="000B3CFF">
            <w:pPr>
              <w:jc w:val="both"/>
              <w:rPr>
                <w:rFonts w:asciiTheme="majorHAnsi" w:hAnsiTheme="majorHAnsi" w:cstheme="minorHAnsi"/>
                <w:b/>
                <w:bCs/>
                <w:color w:val="000000" w:themeColor="text1"/>
                <w:sz w:val="16"/>
                <w:szCs w:val="16"/>
                <w:lang w:val="en-US"/>
              </w:rPr>
            </w:pPr>
            <w:r w:rsidRPr="00A204D5">
              <w:rPr>
                <w:rFonts w:asciiTheme="majorHAnsi" w:hAnsiTheme="majorHAnsi" w:cstheme="minorHAnsi"/>
                <w:b/>
                <w:bCs/>
                <w:color w:val="000000" w:themeColor="text1"/>
                <w:sz w:val="16"/>
                <w:szCs w:val="16"/>
                <w:lang w:val="en-US"/>
              </w:rPr>
              <w:t xml:space="preserve">Figure </w:t>
            </w:r>
            <w:r w:rsidR="000671D4">
              <w:rPr>
                <w:rFonts w:asciiTheme="majorHAnsi" w:hAnsiTheme="majorHAnsi" w:cstheme="minorHAnsi"/>
                <w:b/>
                <w:bCs/>
                <w:color w:val="000000" w:themeColor="text1"/>
                <w:sz w:val="16"/>
                <w:szCs w:val="16"/>
                <w:lang w:val="en-US"/>
              </w:rPr>
              <w:t>3</w:t>
            </w:r>
            <w:r w:rsidRPr="00A204D5">
              <w:rPr>
                <w:rFonts w:asciiTheme="majorHAnsi" w:hAnsiTheme="majorHAnsi" w:cstheme="minorHAnsi"/>
                <w:b/>
                <w:bCs/>
                <w:color w:val="000000" w:themeColor="text1"/>
                <w:sz w:val="16"/>
                <w:szCs w:val="16"/>
                <w:lang w:val="en-US"/>
              </w:rPr>
              <w:t>. Consistency of private finance flows with climate objectives in Colombia</w:t>
            </w:r>
          </w:p>
          <w:p w14:paraId="357D3B9C" w14:textId="77777777" w:rsidR="00592800" w:rsidRPr="00A204D5" w:rsidRDefault="00592800" w:rsidP="000B3CFF">
            <w:pPr>
              <w:jc w:val="both"/>
              <w:rPr>
                <w:rFonts w:asciiTheme="majorHAnsi" w:hAnsiTheme="majorHAnsi" w:cs="Times New Roman"/>
                <w:bCs/>
                <w:color w:val="000000" w:themeColor="text1"/>
                <w:sz w:val="16"/>
                <w:szCs w:val="16"/>
                <w:lang w:val="en-GB"/>
              </w:rPr>
            </w:pPr>
          </w:p>
          <w:p w14:paraId="2064A05F" w14:textId="77777777" w:rsidR="00592800" w:rsidRPr="00A204D5" w:rsidRDefault="00592800" w:rsidP="000B3CFF">
            <w:pPr>
              <w:jc w:val="both"/>
              <w:rPr>
                <w:rFonts w:asciiTheme="majorHAnsi" w:hAnsiTheme="majorHAnsi" w:cs="Times New Roman"/>
                <w:bCs/>
                <w:color w:val="000000" w:themeColor="text1"/>
                <w:sz w:val="16"/>
                <w:szCs w:val="16"/>
                <w:lang w:val="en-GB"/>
              </w:rPr>
            </w:pPr>
            <w:r w:rsidRPr="00A204D5">
              <w:rPr>
                <w:rFonts w:asciiTheme="majorHAnsi" w:hAnsiTheme="majorHAnsi" w:cs="Times New Roman"/>
                <w:bCs/>
                <w:color w:val="000000" w:themeColor="text1"/>
                <w:sz w:val="16"/>
                <w:szCs w:val="16"/>
                <w:lang w:val="en-GB"/>
              </w:rPr>
              <w:t>The main recommendations to foster consistency of public and private financial flows to low emissions and resilient development in Colombia are the following:</w:t>
            </w:r>
          </w:p>
          <w:p w14:paraId="4F69280A" w14:textId="77777777" w:rsidR="00592800" w:rsidRPr="00A204D5" w:rsidRDefault="00592800" w:rsidP="000B3CFF">
            <w:pPr>
              <w:jc w:val="both"/>
              <w:rPr>
                <w:rFonts w:asciiTheme="majorHAnsi" w:hAnsiTheme="majorHAnsi" w:cs="Times New Roman"/>
                <w:bCs/>
                <w:color w:val="000000" w:themeColor="text1"/>
                <w:sz w:val="16"/>
                <w:szCs w:val="16"/>
                <w:lang w:val="en-GB"/>
              </w:rPr>
            </w:pPr>
          </w:p>
          <w:p w14:paraId="1031E512" w14:textId="04CCED46" w:rsidR="00592800" w:rsidRPr="00A204D5" w:rsidRDefault="00592800" w:rsidP="000B3CFF">
            <w:pPr>
              <w:pStyle w:val="ListParagraph"/>
              <w:numPr>
                <w:ilvl w:val="0"/>
                <w:numId w:val="22"/>
              </w:numPr>
              <w:ind w:left="360"/>
              <w:jc w:val="both"/>
              <w:rPr>
                <w:rFonts w:asciiTheme="majorHAnsi" w:hAnsiTheme="majorHAnsi" w:cs="Times New Roman"/>
                <w:bCs/>
                <w:color w:val="000000" w:themeColor="text1"/>
                <w:sz w:val="16"/>
                <w:szCs w:val="16"/>
                <w:lang w:val="en-GB"/>
              </w:rPr>
            </w:pPr>
            <w:r w:rsidRPr="00A204D5">
              <w:rPr>
                <w:rFonts w:asciiTheme="majorHAnsi" w:hAnsiTheme="majorHAnsi" w:cs="Times New Roman"/>
                <w:bCs/>
                <w:color w:val="000000" w:themeColor="text1"/>
                <w:sz w:val="16"/>
                <w:szCs w:val="16"/>
                <w:lang w:val="en-GB"/>
              </w:rPr>
              <w:t>Public budget destined to climate action (1.15% of the total budget) needs to significantly increase and be mainstreamed at the territorial and sectorial levels while public funding (11.15% of the total budget) and investments on fossil fuels need to be reduced and eventually stopped, in order to accomplish the country</w:t>
            </w:r>
            <w:r w:rsidR="00D54299">
              <w:rPr>
                <w:rFonts w:asciiTheme="majorHAnsi" w:hAnsiTheme="majorHAnsi" w:cs="Times New Roman"/>
                <w:bCs/>
                <w:color w:val="000000" w:themeColor="text1"/>
                <w:sz w:val="16"/>
                <w:szCs w:val="16"/>
                <w:lang w:val="en-GB"/>
              </w:rPr>
              <w:t>’</w:t>
            </w:r>
            <w:r w:rsidRPr="00A204D5">
              <w:rPr>
                <w:rFonts w:asciiTheme="majorHAnsi" w:hAnsiTheme="majorHAnsi" w:cs="Times New Roman"/>
                <w:bCs/>
                <w:color w:val="000000" w:themeColor="text1"/>
                <w:sz w:val="16"/>
                <w:szCs w:val="16"/>
                <w:lang w:val="en-GB"/>
              </w:rPr>
              <w:t xml:space="preserve">s ambitious mitigation and adaptation goals. </w:t>
            </w:r>
          </w:p>
          <w:p w14:paraId="652DAA6B" w14:textId="77777777" w:rsidR="00592800" w:rsidRPr="00A204D5" w:rsidRDefault="00592800" w:rsidP="000B3CFF">
            <w:pPr>
              <w:pStyle w:val="ListParagraph"/>
              <w:numPr>
                <w:ilvl w:val="0"/>
                <w:numId w:val="22"/>
              </w:numPr>
              <w:ind w:left="360"/>
              <w:jc w:val="both"/>
              <w:rPr>
                <w:rFonts w:asciiTheme="majorHAnsi" w:hAnsiTheme="majorHAnsi" w:cs="Times New Roman"/>
                <w:bCs/>
                <w:color w:val="000000" w:themeColor="text1"/>
                <w:sz w:val="16"/>
                <w:szCs w:val="16"/>
                <w:lang w:val="en-GB"/>
              </w:rPr>
            </w:pPr>
            <w:r w:rsidRPr="00A204D5">
              <w:rPr>
                <w:rFonts w:asciiTheme="majorHAnsi" w:hAnsiTheme="majorHAnsi" w:cs="Times New Roman"/>
                <w:bCs/>
                <w:color w:val="000000" w:themeColor="text1"/>
                <w:sz w:val="16"/>
                <w:szCs w:val="16"/>
                <w:lang w:val="en-GB"/>
              </w:rPr>
              <w:t xml:space="preserve">A just transition of the Colombian energy system financially requires that current subsidies and investments into fossil fuels are addressed in a way to assess their gradual redirection towards non-conventional renewable energy sources and other low-emissions actions for the transportation and industry sectors; a valuation of how to enable the diversification of the current economic dependence on fossil fuels exports and incomes, as well as to avoid the risk of creating stranded assets. The continued use of measures such as the renewable energy auctions and an increasingly more stringent carbon tax, and the upcoming implementation of an ETS can act as useful public levers to enhanced consistency.  </w:t>
            </w:r>
          </w:p>
          <w:p w14:paraId="23EFC4A2" w14:textId="44B74004" w:rsidR="00592800" w:rsidRPr="00A204D5" w:rsidRDefault="00592800" w:rsidP="000B3CFF">
            <w:pPr>
              <w:pStyle w:val="ListParagraph"/>
              <w:numPr>
                <w:ilvl w:val="0"/>
                <w:numId w:val="22"/>
              </w:numPr>
              <w:ind w:left="360"/>
              <w:jc w:val="both"/>
              <w:rPr>
                <w:rFonts w:asciiTheme="majorHAnsi" w:hAnsiTheme="majorHAnsi" w:cs="Times New Roman"/>
                <w:bCs/>
                <w:color w:val="000000" w:themeColor="text1"/>
                <w:sz w:val="16"/>
                <w:szCs w:val="16"/>
                <w:lang w:val="en-GB"/>
              </w:rPr>
            </w:pPr>
            <w:r w:rsidRPr="00A204D5">
              <w:rPr>
                <w:rFonts w:asciiTheme="majorHAnsi" w:hAnsiTheme="majorHAnsi" w:cs="Times New Roman"/>
                <w:bCs/>
                <w:color w:val="000000" w:themeColor="text1"/>
                <w:sz w:val="16"/>
                <w:szCs w:val="16"/>
                <w:lang w:val="en-GB"/>
              </w:rPr>
              <w:t>There is an important amount of public investment that may be considered carbon neutral (e.g. for health, education or livelihoods) -that was not taken into account in this report- that should be more granularly analysed in order to understand better its consistency with the country</w:t>
            </w:r>
            <w:r w:rsidR="00D54299">
              <w:rPr>
                <w:rFonts w:asciiTheme="majorHAnsi" w:hAnsiTheme="majorHAnsi" w:cs="Times New Roman"/>
                <w:bCs/>
                <w:color w:val="000000" w:themeColor="text1"/>
                <w:sz w:val="16"/>
                <w:szCs w:val="16"/>
                <w:lang w:val="en-GB"/>
              </w:rPr>
              <w:t>’</w:t>
            </w:r>
            <w:r w:rsidRPr="00A204D5">
              <w:rPr>
                <w:rFonts w:asciiTheme="majorHAnsi" w:hAnsiTheme="majorHAnsi" w:cs="Times New Roman"/>
                <w:bCs/>
                <w:color w:val="000000" w:themeColor="text1"/>
                <w:sz w:val="16"/>
                <w:szCs w:val="16"/>
                <w:lang w:val="en-GB"/>
              </w:rPr>
              <w:t>s climate action. It is in this sense relevant that the new green taxonomy -currently under preparation- could enhance transparency of climate finance of public and private flows and, at the same time, set a higher benchmark to climate-compatible investments.</w:t>
            </w:r>
          </w:p>
          <w:p w14:paraId="405734B2" w14:textId="451FAC06" w:rsidR="00592800" w:rsidRPr="00A204D5" w:rsidRDefault="00592800" w:rsidP="000B3CFF">
            <w:pPr>
              <w:pStyle w:val="ListParagraph"/>
              <w:numPr>
                <w:ilvl w:val="0"/>
                <w:numId w:val="22"/>
              </w:numPr>
              <w:ind w:left="360"/>
              <w:jc w:val="both"/>
              <w:rPr>
                <w:rFonts w:asciiTheme="majorHAnsi" w:hAnsiTheme="majorHAnsi" w:cs="Times New Roman"/>
                <w:bCs/>
                <w:color w:val="000000" w:themeColor="text1"/>
                <w:sz w:val="16"/>
                <w:szCs w:val="16"/>
                <w:lang w:val="en-GB"/>
              </w:rPr>
            </w:pPr>
            <w:r w:rsidRPr="00A204D5">
              <w:rPr>
                <w:rFonts w:asciiTheme="majorHAnsi" w:hAnsiTheme="majorHAnsi" w:cs="Times New Roman"/>
                <w:bCs/>
                <w:color w:val="000000" w:themeColor="text1"/>
                <w:sz w:val="16"/>
                <w:szCs w:val="16"/>
                <w:lang w:val="en-GB"/>
              </w:rPr>
              <w:t>This is particularly relevant to adaptation finance flows which often are intertwined with development finance and hopefully will be further clarified by upcoming enhanced adaptation regulation to the Climate Change Law and driven by priorities and vulnerabilities stated in the country</w:t>
            </w:r>
            <w:r w:rsidR="00D54299">
              <w:rPr>
                <w:rFonts w:asciiTheme="majorHAnsi" w:hAnsiTheme="majorHAnsi" w:cs="Times New Roman"/>
                <w:bCs/>
                <w:color w:val="000000" w:themeColor="text1"/>
                <w:sz w:val="16"/>
                <w:szCs w:val="16"/>
                <w:lang w:val="en-GB"/>
              </w:rPr>
              <w:t>’</w:t>
            </w:r>
            <w:r w:rsidRPr="00A204D5">
              <w:rPr>
                <w:rFonts w:asciiTheme="majorHAnsi" w:hAnsiTheme="majorHAnsi" w:cs="Times New Roman"/>
                <w:bCs/>
                <w:color w:val="000000" w:themeColor="text1"/>
                <w:sz w:val="16"/>
                <w:szCs w:val="16"/>
                <w:lang w:val="en-GB"/>
              </w:rPr>
              <w:t xml:space="preserve">s first Adaptation Communication. The updated NDC already provides with initial estimates for increased annual public investments to adaptation towards 2030 (0.2% of the GDP). Closing the adaptation finance gap could also benefit by transitioning the current Adaptation Fund towards an institution that is dedicated to provide financial resources and incentives to climate resilience and vulnerability reduction to present and future climate events.  </w:t>
            </w:r>
          </w:p>
          <w:p w14:paraId="6C8D7331" w14:textId="6B174276" w:rsidR="00592800" w:rsidRPr="00A204D5" w:rsidRDefault="00592800" w:rsidP="000B3CFF">
            <w:pPr>
              <w:pStyle w:val="ListParagraph"/>
              <w:numPr>
                <w:ilvl w:val="0"/>
                <w:numId w:val="22"/>
              </w:numPr>
              <w:ind w:left="360"/>
              <w:jc w:val="both"/>
              <w:rPr>
                <w:rFonts w:asciiTheme="majorHAnsi" w:hAnsiTheme="majorHAnsi" w:cs="Times New Roman"/>
                <w:bCs/>
                <w:color w:val="000000" w:themeColor="text1"/>
                <w:sz w:val="16"/>
                <w:szCs w:val="16"/>
                <w:lang w:val="en-GB"/>
              </w:rPr>
            </w:pPr>
            <w:r w:rsidRPr="00A204D5">
              <w:rPr>
                <w:rFonts w:asciiTheme="majorHAnsi" w:hAnsiTheme="majorHAnsi" w:cs="Times New Roman"/>
                <w:iCs/>
                <w:color w:val="000000" w:themeColor="text1"/>
                <w:sz w:val="16"/>
                <w:szCs w:val="16"/>
                <w:lang w:val="en-GB"/>
              </w:rPr>
              <w:t xml:space="preserve">It is clear that reducing deforestation is one of the most important environmental, social and economic challenges for Colombia. Addressing these challenges holistically has a legal component to it through enhanced law enforcement and the promotion of rural land use regulation, but it also requires financial support to enable local development in a manner that is legal and sustainable. This should be facilitated by providing sufficient public funding to the environmental sector to ensure the effective conservation of protected areas and by enabling </w:t>
            </w:r>
            <w:r w:rsidRPr="00A204D5">
              <w:rPr>
                <w:rFonts w:asciiTheme="majorHAnsi" w:hAnsiTheme="majorHAnsi" w:cs="Times New Roman"/>
                <w:i/>
                <w:color w:val="000000" w:themeColor="text1"/>
                <w:sz w:val="16"/>
                <w:szCs w:val="16"/>
                <w:lang w:val="en-GB"/>
              </w:rPr>
              <w:t xml:space="preserve">de facto </w:t>
            </w:r>
            <w:r w:rsidRPr="00A204D5">
              <w:rPr>
                <w:rFonts w:asciiTheme="majorHAnsi" w:hAnsiTheme="majorHAnsi" w:cs="Times New Roman"/>
                <w:iCs/>
                <w:color w:val="000000" w:themeColor="text1"/>
                <w:sz w:val="16"/>
                <w:szCs w:val="16"/>
                <w:lang w:val="en-GB"/>
              </w:rPr>
              <w:t>the use of revenues from the Carbon Tax to foster conservation and reforestation efforts. Additionally, the potential growth of the national carbon market through higher carbon prices that are in line with the country</w:t>
            </w:r>
            <w:r w:rsidR="00D54299">
              <w:rPr>
                <w:rFonts w:asciiTheme="majorHAnsi" w:hAnsiTheme="majorHAnsi" w:cs="Times New Roman"/>
                <w:iCs/>
                <w:color w:val="000000" w:themeColor="text1"/>
                <w:sz w:val="16"/>
                <w:szCs w:val="16"/>
                <w:lang w:val="en-GB"/>
              </w:rPr>
              <w:t>’</w:t>
            </w:r>
            <w:r w:rsidRPr="00A204D5">
              <w:rPr>
                <w:rFonts w:asciiTheme="majorHAnsi" w:hAnsiTheme="majorHAnsi" w:cs="Times New Roman"/>
                <w:iCs/>
                <w:color w:val="000000" w:themeColor="text1"/>
                <w:sz w:val="16"/>
                <w:szCs w:val="16"/>
                <w:lang w:val="en-GB"/>
              </w:rPr>
              <w:t xml:space="preserve">s mitigation objectives may generate supplementary sources of finance to this end, coupled with irreplaceable international collaboration. </w:t>
            </w:r>
          </w:p>
          <w:p w14:paraId="09891989" w14:textId="765D925D" w:rsidR="00592800" w:rsidRPr="00A204D5" w:rsidRDefault="00592800" w:rsidP="000B3CFF">
            <w:pPr>
              <w:pStyle w:val="ListParagraph"/>
              <w:numPr>
                <w:ilvl w:val="0"/>
                <w:numId w:val="22"/>
              </w:numPr>
              <w:ind w:left="360"/>
              <w:jc w:val="both"/>
              <w:rPr>
                <w:rFonts w:asciiTheme="majorHAnsi" w:hAnsiTheme="majorHAnsi" w:cs="Times New Roman"/>
                <w:bCs/>
                <w:color w:val="000000" w:themeColor="text1"/>
                <w:sz w:val="16"/>
                <w:szCs w:val="16"/>
                <w:lang w:val="en-GB"/>
              </w:rPr>
            </w:pPr>
            <w:r w:rsidRPr="00A204D5">
              <w:rPr>
                <w:rFonts w:asciiTheme="majorHAnsi" w:hAnsiTheme="majorHAnsi" w:cs="Times New Roman"/>
                <w:bCs/>
                <w:color w:val="000000" w:themeColor="text1"/>
                <w:sz w:val="16"/>
                <w:szCs w:val="16"/>
                <w:lang w:val="en-GB"/>
              </w:rPr>
              <w:t>D</w:t>
            </w:r>
            <w:r w:rsidRPr="00A204D5">
              <w:rPr>
                <w:rFonts w:asciiTheme="majorHAnsi" w:hAnsiTheme="majorHAnsi" w:cs="Times New Roman"/>
                <w:color w:val="000000" w:themeColor="text1"/>
                <w:sz w:val="16"/>
                <w:szCs w:val="16"/>
                <w:lang w:val="en-GB"/>
              </w:rPr>
              <w:t>espite some initial positive signals around sustainability and climate action of different private institutions, only a very small percentage (approximately 0.8% of the GDP) of private financial flows is consistent with low emissions and resilient pathways. It appears that c</w:t>
            </w:r>
            <w:r w:rsidRPr="00A204D5">
              <w:rPr>
                <w:rFonts w:asciiTheme="majorHAnsi" w:hAnsiTheme="majorHAnsi" w:cs="Times New Roman"/>
                <w:bCs/>
                <w:color w:val="000000" w:themeColor="text1"/>
                <w:sz w:val="16"/>
                <w:szCs w:val="16"/>
                <w:lang w:val="en-GB"/>
              </w:rPr>
              <w:t>limate change is insufficiently understood or mainstreamed as an investment rationale (either as an opportunity or a risk) in Colombian private and financial flows. Sustainability reports -SDGs-aligned- are increasingly being taken into account and most private institutions have to some extent policies regarding ESG. It is important that efforts to raise awareness and capacities of the Colombian financial sector are built and enhanced in the next decade, so to enable the financial system to foster and facilitate a just transition towards net-zero emissions and understanding the importance of including investments in local climate-compatible projects and assets, and providing transitional support to industry. Recognition is to be provided to current capacity building efforts with different financial sector actors by private initiatives like CCADI, PRI, the 2 degrees investing initiative, and others. The financial system has an unparalleled ability to address our current societal and environmental issues; many opportunities for mitigation and adaptation through climate smart investments have always been available but overlooked. Hence, the achievement of the country</w:t>
            </w:r>
            <w:r w:rsidR="00D54299">
              <w:rPr>
                <w:rFonts w:asciiTheme="majorHAnsi" w:hAnsiTheme="majorHAnsi" w:cs="Times New Roman"/>
                <w:bCs/>
                <w:color w:val="000000" w:themeColor="text1"/>
                <w:sz w:val="16"/>
                <w:szCs w:val="16"/>
                <w:lang w:val="en-GB"/>
              </w:rPr>
              <w:t>’</w:t>
            </w:r>
            <w:r w:rsidRPr="00A204D5">
              <w:rPr>
                <w:rFonts w:asciiTheme="majorHAnsi" w:hAnsiTheme="majorHAnsi" w:cs="Times New Roman"/>
                <w:bCs/>
                <w:color w:val="000000" w:themeColor="text1"/>
                <w:sz w:val="16"/>
                <w:szCs w:val="16"/>
                <w:lang w:val="en-GB"/>
              </w:rPr>
              <w:t xml:space="preserve">s 2030 and 2050 mitigation goals will necessitate of the active and committed engagement of the financial sector with corporate actors developing their own company commitments embedding climate into economic and financial priorities and improving the climate compatibility of their operations as well as managing and disclosing climate, environmental and social risks associated with their financing activities, including by means of introducing investment diversification </w:t>
            </w:r>
            <w:r w:rsidRPr="00A204D5">
              <w:rPr>
                <w:rFonts w:asciiTheme="majorHAnsi" w:hAnsiTheme="majorHAnsi" w:cs="Times New Roman"/>
                <w:bCs/>
                <w:color w:val="000000" w:themeColor="text1"/>
                <w:sz w:val="16"/>
                <w:szCs w:val="16"/>
                <w:lang w:val="en-GB"/>
              </w:rPr>
              <w:lastRenderedPageBreak/>
              <w:t xml:space="preserve">away from high-carbon assets to protect long-term financial interests of beneficiaries in affected sectors (Robins et al, 2018). </w:t>
            </w:r>
          </w:p>
          <w:p w14:paraId="6BA564A0" w14:textId="0E55DE82" w:rsidR="00592800" w:rsidRPr="00A204D5" w:rsidRDefault="00592800" w:rsidP="000B3CFF">
            <w:pPr>
              <w:pStyle w:val="ListParagraph"/>
              <w:numPr>
                <w:ilvl w:val="0"/>
                <w:numId w:val="22"/>
              </w:numPr>
              <w:ind w:left="360"/>
              <w:jc w:val="both"/>
              <w:rPr>
                <w:rFonts w:asciiTheme="majorHAnsi" w:hAnsiTheme="majorHAnsi" w:cs="Times New Roman"/>
                <w:bCs/>
                <w:color w:val="000000" w:themeColor="text1"/>
                <w:sz w:val="16"/>
                <w:szCs w:val="16"/>
                <w:lang w:val="en-GB"/>
              </w:rPr>
            </w:pPr>
            <w:r w:rsidRPr="00A204D5">
              <w:rPr>
                <w:rFonts w:asciiTheme="majorHAnsi" w:hAnsiTheme="majorHAnsi" w:cs="Times New Roman"/>
                <w:bCs/>
                <w:color w:val="000000" w:themeColor="text1"/>
                <w:sz w:val="16"/>
                <w:szCs w:val="16"/>
                <w:lang w:val="en-GB"/>
              </w:rPr>
              <w:t>As part of the research done for this report, we have identified that the S</w:t>
            </w:r>
            <w:r w:rsidR="00766458">
              <w:rPr>
                <w:rFonts w:asciiTheme="majorHAnsi" w:hAnsiTheme="majorHAnsi" w:cs="Times New Roman"/>
                <w:bCs/>
                <w:color w:val="000000" w:themeColor="text1"/>
                <w:sz w:val="16"/>
                <w:szCs w:val="16"/>
                <w:lang w:val="en-GB"/>
              </w:rPr>
              <w:t xml:space="preserve">uperintendencia </w:t>
            </w:r>
            <w:r w:rsidRPr="00A204D5">
              <w:rPr>
                <w:rFonts w:asciiTheme="majorHAnsi" w:hAnsiTheme="majorHAnsi" w:cs="Times New Roman"/>
                <w:bCs/>
                <w:color w:val="000000" w:themeColor="text1"/>
                <w:sz w:val="16"/>
                <w:szCs w:val="16"/>
                <w:lang w:val="en-GB"/>
              </w:rPr>
              <w:t>F</w:t>
            </w:r>
            <w:r w:rsidR="00766458">
              <w:rPr>
                <w:rFonts w:asciiTheme="majorHAnsi" w:hAnsiTheme="majorHAnsi" w:cs="Times New Roman"/>
                <w:bCs/>
                <w:color w:val="000000" w:themeColor="text1"/>
                <w:sz w:val="16"/>
                <w:szCs w:val="16"/>
                <w:lang w:val="en-GB"/>
              </w:rPr>
              <w:t xml:space="preserve">inanciera de </w:t>
            </w:r>
            <w:r w:rsidRPr="00A204D5">
              <w:rPr>
                <w:rFonts w:asciiTheme="majorHAnsi" w:hAnsiTheme="majorHAnsi" w:cs="Times New Roman"/>
                <w:bCs/>
                <w:color w:val="000000" w:themeColor="text1"/>
                <w:sz w:val="16"/>
                <w:szCs w:val="16"/>
                <w:lang w:val="en-GB"/>
              </w:rPr>
              <w:t>C</w:t>
            </w:r>
            <w:r w:rsidR="00766458">
              <w:rPr>
                <w:rFonts w:asciiTheme="majorHAnsi" w:hAnsiTheme="majorHAnsi" w:cs="Times New Roman"/>
                <w:bCs/>
                <w:color w:val="000000" w:themeColor="text1"/>
                <w:sz w:val="16"/>
                <w:szCs w:val="16"/>
                <w:lang w:val="en-GB"/>
              </w:rPr>
              <w:t>olombia</w:t>
            </w:r>
            <w:r w:rsidRPr="00A204D5">
              <w:rPr>
                <w:rFonts w:asciiTheme="majorHAnsi" w:hAnsiTheme="majorHAnsi" w:cs="Times New Roman"/>
                <w:bCs/>
                <w:color w:val="000000" w:themeColor="text1"/>
                <w:sz w:val="16"/>
                <w:szCs w:val="16"/>
                <w:lang w:val="en-GB"/>
              </w:rPr>
              <w:t xml:space="preserve"> already has an exhaustive financial information disclosure system that collects monthly data from most financial actors. This system could be used to collect additional information such as sectors and subsectors from which financial system borrowers, issuers, subscriptions and clients come from; this could be further accompanied by a thorough taxonomy of financial flows where consistency with low-emissions, resilient development could be identified, hence providing with necessary information to steer a transition of financial flows towards a low carbon economy. </w:t>
            </w:r>
          </w:p>
          <w:p w14:paraId="43122F62" w14:textId="77777777" w:rsidR="00592800" w:rsidRPr="00A204D5" w:rsidRDefault="00592800" w:rsidP="000B3CFF">
            <w:pPr>
              <w:pStyle w:val="ListParagraph"/>
              <w:numPr>
                <w:ilvl w:val="0"/>
                <w:numId w:val="22"/>
              </w:numPr>
              <w:ind w:left="360"/>
              <w:jc w:val="both"/>
              <w:rPr>
                <w:rFonts w:asciiTheme="majorHAnsi" w:hAnsiTheme="majorHAnsi" w:cs="Times New Roman"/>
                <w:bCs/>
                <w:color w:val="000000" w:themeColor="text1"/>
                <w:sz w:val="16"/>
                <w:szCs w:val="16"/>
                <w:lang w:val="en-GB"/>
              </w:rPr>
            </w:pPr>
            <w:r w:rsidRPr="00A204D5">
              <w:rPr>
                <w:rFonts w:asciiTheme="majorHAnsi" w:hAnsiTheme="majorHAnsi" w:cs="Times New Roman"/>
                <w:bCs/>
                <w:color w:val="000000" w:themeColor="text1"/>
                <w:sz w:val="16"/>
                <w:szCs w:val="16"/>
                <w:lang w:val="en-GB"/>
              </w:rPr>
              <w:t xml:space="preserve">Although it is not yet quantified for the updated 2030 and 2050 goals, international cooperation and foreign investments will be critical to ensure the transition towards decarbonisation and resilience in Colombia takes place for both public and private flows consistency. This needs to be taken into account when the first GST happens in 2023 and political ambition as well as implementation by developed and developing countries is assessed, and as a result an enhanced global system of international cooperation is driven by the UN multilateral system on climate change to enable the transition that the Paris Agreement calls for. </w:t>
            </w:r>
          </w:p>
          <w:p w14:paraId="2BB093C0" w14:textId="77777777" w:rsidR="00592800" w:rsidRPr="00A204D5" w:rsidRDefault="00592800" w:rsidP="000B3CFF">
            <w:pPr>
              <w:jc w:val="both"/>
              <w:rPr>
                <w:rFonts w:asciiTheme="majorHAnsi" w:hAnsiTheme="majorHAnsi" w:cstheme="minorHAnsi"/>
                <w:color w:val="000000" w:themeColor="text1"/>
                <w:sz w:val="16"/>
                <w:szCs w:val="16"/>
                <w:lang w:val="en-GB"/>
              </w:rPr>
            </w:pPr>
          </w:p>
          <w:p w14:paraId="3020FBBA" w14:textId="77777777" w:rsidR="00592800" w:rsidRPr="00A204D5" w:rsidRDefault="00592800" w:rsidP="000B3CFF">
            <w:pPr>
              <w:jc w:val="both"/>
              <w:rPr>
                <w:rFonts w:asciiTheme="majorHAnsi" w:hAnsiTheme="majorHAnsi" w:cstheme="minorHAnsi"/>
                <w:color w:val="000000" w:themeColor="text1"/>
                <w:sz w:val="16"/>
                <w:szCs w:val="16"/>
                <w:lang w:val="en-GB"/>
              </w:rPr>
            </w:pPr>
          </w:p>
        </w:tc>
      </w:tr>
    </w:tbl>
    <w:p w14:paraId="1BC35F43" w14:textId="77777777" w:rsidR="00592800" w:rsidRPr="003765C1" w:rsidRDefault="00592800" w:rsidP="003765C1">
      <w:pPr>
        <w:keepNext/>
        <w:jc w:val="both"/>
        <w:rPr>
          <w:rFonts w:asciiTheme="majorHAnsi" w:hAnsiTheme="majorHAnsi" w:cstheme="minorHAnsi"/>
          <w:color w:val="3494BA" w:themeColor="accent1"/>
          <w:sz w:val="16"/>
          <w:szCs w:val="16"/>
          <w:lang w:val="en-US"/>
        </w:rPr>
      </w:pPr>
    </w:p>
    <w:p w14:paraId="531E8EAF" w14:textId="476B7596" w:rsidR="00283B06" w:rsidRPr="005E3D7A" w:rsidRDefault="00EB1357" w:rsidP="00283B06">
      <w:pPr>
        <w:spacing w:before="100" w:beforeAutospacing="1" w:after="100" w:afterAutospacing="1"/>
        <w:jc w:val="both"/>
        <w:rPr>
          <w:rFonts w:asciiTheme="majorHAnsi" w:hAnsiTheme="majorHAnsi" w:cstheme="majorHAnsi"/>
          <w:color w:val="000000" w:themeColor="text1"/>
          <w:sz w:val="20"/>
          <w:szCs w:val="20"/>
          <w:lang w:val="en-GB"/>
        </w:rPr>
      </w:pPr>
      <w:r w:rsidRPr="00EB1357">
        <w:rPr>
          <w:rFonts w:asciiTheme="majorHAnsi" w:hAnsiTheme="majorHAnsi" w:cstheme="majorHAnsi"/>
          <w:color w:val="000000" w:themeColor="text1"/>
          <w:sz w:val="20"/>
          <w:szCs w:val="20"/>
          <w:lang w:val="en-US"/>
        </w:rPr>
        <w:t xml:space="preserve">In light of the substantial </w:t>
      </w:r>
      <w:r w:rsidR="0054594C" w:rsidRPr="00EB1357">
        <w:rPr>
          <w:rFonts w:asciiTheme="majorHAnsi" w:hAnsiTheme="majorHAnsi" w:cstheme="majorHAnsi"/>
          <w:color w:val="000000" w:themeColor="text1"/>
          <w:sz w:val="20"/>
          <w:szCs w:val="20"/>
          <w:lang w:val="en-US"/>
        </w:rPr>
        <w:t xml:space="preserve">challenges </w:t>
      </w:r>
      <w:r w:rsidRPr="00EB1357">
        <w:rPr>
          <w:rFonts w:asciiTheme="majorHAnsi" w:hAnsiTheme="majorHAnsi" w:cstheme="majorHAnsi"/>
          <w:color w:val="000000" w:themeColor="text1"/>
          <w:sz w:val="20"/>
          <w:szCs w:val="20"/>
          <w:lang w:val="en-US"/>
        </w:rPr>
        <w:t>of operationalizing</w:t>
      </w:r>
      <w:r w:rsidR="0054594C" w:rsidRPr="00EB1357">
        <w:rPr>
          <w:rFonts w:asciiTheme="majorHAnsi" w:hAnsiTheme="majorHAnsi" w:cstheme="majorHAnsi"/>
          <w:color w:val="000000" w:themeColor="text1"/>
          <w:sz w:val="20"/>
          <w:szCs w:val="20"/>
          <w:lang w:val="en-US"/>
        </w:rPr>
        <w:t xml:space="preserve"> Article 2.1c, </w:t>
      </w:r>
      <w:r w:rsidRPr="00EB1357">
        <w:rPr>
          <w:rFonts w:asciiTheme="majorHAnsi" w:hAnsiTheme="majorHAnsi" w:cstheme="majorHAnsi"/>
          <w:color w:val="000000" w:themeColor="text1"/>
          <w:sz w:val="20"/>
          <w:szCs w:val="20"/>
          <w:lang w:val="en-US"/>
        </w:rPr>
        <w:t>AILAC</w:t>
      </w:r>
      <w:r w:rsidR="0054594C" w:rsidRPr="00EB1357">
        <w:rPr>
          <w:rFonts w:asciiTheme="majorHAnsi" w:hAnsiTheme="majorHAnsi" w:cstheme="majorHAnsi"/>
          <w:color w:val="000000" w:themeColor="text1"/>
          <w:sz w:val="20"/>
          <w:szCs w:val="20"/>
          <w:lang w:val="en-US"/>
        </w:rPr>
        <w:t xml:space="preserve"> consider</w:t>
      </w:r>
      <w:r w:rsidRPr="00EB1357">
        <w:rPr>
          <w:rFonts w:asciiTheme="majorHAnsi" w:hAnsiTheme="majorHAnsi" w:cstheme="majorHAnsi"/>
          <w:color w:val="000000" w:themeColor="text1"/>
          <w:sz w:val="20"/>
          <w:szCs w:val="20"/>
          <w:lang w:val="en-US"/>
        </w:rPr>
        <w:t>s</w:t>
      </w:r>
      <w:r w:rsidR="0054594C" w:rsidRPr="00EB1357">
        <w:rPr>
          <w:rFonts w:asciiTheme="majorHAnsi" w:hAnsiTheme="majorHAnsi" w:cstheme="majorHAnsi"/>
          <w:color w:val="000000" w:themeColor="text1"/>
          <w:sz w:val="20"/>
          <w:szCs w:val="20"/>
          <w:lang w:val="en-US"/>
        </w:rPr>
        <w:t xml:space="preserve"> it </w:t>
      </w:r>
      <w:r w:rsidR="002F35F2" w:rsidRPr="00EB1357">
        <w:rPr>
          <w:rFonts w:asciiTheme="majorHAnsi" w:hAnsiTheme="majorHAnsi" w:cstheme="majorHAnsi"/>
          <w:color w:val="000000" w:themeColor="text1"/>
          <w:sz w:val="20"/>
          <w:szCs w:val="20"/>
          <w:lang w:val="en-GB"/>
        </w:rPr>
        <w:t xml:space="preserve">would be useful to </w:t>
      </w:r>
      <w:r w:rsidR="009959DB" w:rsidRPr="00EB1357">
        <w:rPr>
          <w:rFonts w:asciiTheme="majorHAnsi" w:hAnsiTheme="majorHAnsi" w:cstheme="majorHAnsi"/>
          <w:color w:val="000000" w:themeColor="text1"/>
          <w:sz w:val="20"/>
          <w:szCs w:val="20"/>
          <w:lang w:val="en-GB"/>
        </w:rPr>
        <w:t xml:space="preserve">determine how Paris Agreement Parties </w:t>
      </w:r>
      <w:r w:rsidRPr="00EB1357">
        <w:rPr>
          <w:rFonts w:asciiTheme="majorHAnsi" w:hAnsiTheme="majorHAnsi" w:cstheme="majorHAnsi"/>
          <w:color w:val="000000" w:themeColor="text1"/>
          <w:sz w:val="20"/>
          <w:szCs w:val="20"/>
          <w:lang w:val="en-GB"/>
        </w:rPr>
        <w:t xml:space="preserve">will </w:t>
      </w:r>
      <w:r w:rsidR="009959DB" w:rsidRPr="00EB1357">
        <w:rPr>
          <w:rFonts w:asciiTheme="majorHAnsi" w:hAnsiTheme="majorHAnsi" w:cstheme="majorHAnsi"/>
          <w:color w:val="000000" w:themeColor="text1"/>
          <w:sz w:val="20"/>
          <w:szCs w:val="20"/>
          <w:lang w:val="en-GB"/>
        </w:rPr>
        <w:t xml:space="preserve">engage in </w:t>
      </w:r>
      <w:r w:rsidRPr="00EB1357">
        <w:rPr>
          <w:rFonts w:asciiTheme="majorHAnsi" w:hAnsiTheme="majorHAnsi" w:cstheme="majorHAnsi"/>
          <w:color w:val="000000" w:themeColor="text1"/>
          <w:sz w:val="20"/>
          <w:szCs w:val="20"/>
          <w:lang w:val="en-GB"/>
        </w:rPr>
        <w:t>its</w:t>
      </w:r>
      <w:r w:rsidR="009959DB" w:rsidRPr="00EB1357">
        <w:rPr>
          <w:rFonts w:asciiTheme="majorHAnsi" w:hAnsiTheme="majorHAnsi" w:cstheme="majorHAnsi"/>
          <w:color w:val="000000" w:themeColor="text1"/>
          <w:sz w:val="20"/>
          <w:szCs w:val="20"/>
          <w:lang w:val="en-GB"/>
        </w:rPr>
        <w:t xml:space="preserve"> implementation</w:t>
      </w:r>
      <w:r w:rsidRPr="00EB1357">
        <w:rPr>
          <w:rFonts w:asciiTheme="majorHAnsi" w:hAnsiTheme="majorHAnsi" w:cstheme="majorHAnsi"/>
          <w:color w:val="000000" w:themeColor="text1"/>
          <w:sz w:val="20"/>
          <w:szCs w:val="20"/>
          <w:lang w:val="en-GB"/>
        </w:rPr>
        <w:t>, at least</w:t>
      </w:r>
      <w:r w:rsidR="009959DB" w:rsidRPr="00EB1357">
        <w:rPr>
          <w:rFonts w:asciiTheme="majorHAnsi" w:hAnsiTheme="majorHAnsi" w:cstheme="majorHAnsi"/>
          <w:color w:val="000000" w:themeColor="text1"/>
          <w:sz w:val="20"/>
          <w:szCs w:val="20"/>
          <w:lang w:val="en-GB"/>
        </w:rPr>
        <w:t xml:space="preserve"> through the following</w:t>
      </w:r>
      <w:r w:rsidRPr="00EB1357">
        <w:rPr>
          <w:rFonts w:asciiTheme="majorHAnsi" w:hAnsiTheme="majorHAnsi" w:cstheme="majorHAnsi"/>
          <w:color w:val="000000" w:themeColor="text1"/>
          <w:sz w:val="20"/>
          <w:szCs w:val="20"/>
          <w:lang w:val="en-GB"/>
        </w:rPr>
        <w:t xml:space="preserve"> approaches and framework</w:t>
      </w:r>
      <w:r w:rsidR="00283B06" w:rsidRPr="00EB1357">
        <w:rPr>
          <w:rFonts w:asciiTheme="majorHAnsi" w:hAnsiTheme="majorHAnsi" w:cstheme="majorHAnsi"/>
          <w:color w:val="000000" w:themeColor="text1"/>
          <w:sz w:val="20"/>
          <w:szCs w:val="20"/>
          <w:lang w:val="en-GB"/>
        </w:rPr>
        <w:t>:</w:t>
      </w:r>
    </w:p>
    <w:p w14:paraId="5654C104" w14:textId="39FA4825" w:rsidR="00283B06" w:rsidRPr="005E3D7A" w:rsidRDefault="00283B06" w:rsidP="00E56302">
      <w:pPr>
        <w:pStyle w:val="ListParagraph"/>
        <w:numPr>
          <w:ilvl w:val="1"/>
          <w:numId w:val="17"/>
        </w:numPr>
        <w:ind w:left="360"/>
        <w:jc w:val="both"/>
        <w:rPr>
          <w:rFonts w:asciiTheme="majorHAnsi" w:hAnsiTheme="majorHAnsi" w:cstheme="majorHAnsi"/>
          <w:color w:val="000000" w:themeColor="text1"/>
          <w:sz w:val="20"/>
          <w:szCs w:val="20"/>
          <w:lang w:val="en-GB"/>
        </w:rPr>
      </w:pPr>
      <w:r w:rsidRPr="005E3D7A">
        <w:rPr>
          <w:rFonts w:asciiTheme="majorHAnsi" w:hAnsiTheme="majorHAnsi" w:cstheme="majorHAnsi"/>
          <w:color w:val="000000" w:themeColor="text1"/>
          <w:sz w:val="20"/>
          <w:szCs w:val="20"/>
          <w:lang w:val="en-GB"/>
        </w:rPr>
        <w:t xml:space="preserve">Developed </w:t>
      </w:r>
      <w:r w:rsidR="00DF5AD8" w:rsidRPr="005E3D7A">
        <w:rPr>
          <w:rFonts w:asciiTheme="majorHAnsi" w:hAnsiTheme="majorHAnsi" w:cstheme="majorHAnsi"/>
          <w:color w:val="000000" w:themeColor="text1"/>
          <w:sz w:val="20"/>
          <w:szCs w:val="20"/>
          <w:lang w:val="en-GB"/>
        </w:rPr>
        <w:t>countr</w:t>
      </w:r>
      <w:r w:rsidR="00DF5AD8">
        <w:rPr>
          <w:rFonts w:asciiTheme="majorHAnsi" w:hAnsiTheme="majorHAnsi" w:cstheme="majorHAnsi"/>
          <w:color w:val="000000" w:themeColor="text1"/>
          <w:sz w:val="20"/>
          <w:szCs w:val="20"/>
          <w:lang w:val="en-GB"/>
        </w:rPr>
        <w:t>ies</w:t>
      </w:r>
      <w:r w:rsidR="00DF5AD8" w:rsidRPr="005E3D7A">
        <w:rPr>
          <w:rFonts w:asciiTheme="majorHAnsi" w:hAnsiTheme="majorHAnsi" w:cstheme="majorHAnsi"/>
          <w:color w:val="000000" w:themeColor="text1"/>
          <w:sz w:val="20"/>
          <w:szCs w:val="20"/>
          <w:lang w:val="en-GB"/>
        </w:rPr>
        <w:t xml:space="preserve"> </w:t>
      </w:r>
      <w:r w:rsidR="00EB1357">
        <w:rPr>
          <w:rFonts w:asciiTheme="majorHAnsi" w:hAnsiTheme="majorHAnsi" w:cstheme="majorHAnsi"/>
          <w:color w:val="000000" w:themeColor="text1"/>
          <w:sz w:val="20"/>
          <w:szCs w:val="20"/>
          <w:lang w:val="en-GB"/>
        </w:rPr>
        <w:t>must commit</w:t>
      </w:r>
      <w:r w:rsidRPr="005E3D7A">
        <w:rPr>
          <w:rFonts w:asciiTheme="majorHAnsi" w:hAnsiTheme="majorHAnsi" w:cstheme="majorHAnsi"/>
          <w:color w:val="000000" w:themeColor="text1"/>
          <w:sz w:val="20"/>
          <w:szCs w:val="20"/>
          <w:lang w:val="en-GB"/>
        </w:rPr>
        <w:t xml:space="preserve"> to implement Article 2.1c, both in relation to domestic and international financial flows, including, amongst other areas, through enabling carbon pricing, fossil fuel subsidies reform, greening development finance flows, green budgeting and macroeconomic modelling and public levers</w:t>
      </w:r>
      <w:r>
        <w:rPr>
          <w:rStyle w:val="FootnoteReference"/>
          <w:rFonts w:asciiTheme="majorHAnsi" w:hAnsiTheme="majorHAnsi" w:cstheme="majorHAnsi"/>
          <w:color w:val="000000" w:themeColor="text1"/>
          <w:sz w:val="20"/>
          <w:szCs w:val="20"/>
          <w:lang w:val="en-GB"/>
        </w:rPr>
        <w:footnoteReference w:id="16"/>
      </w:r>
      <w:r w:rsidRPr="005E3D7A">
        <w:rPr>
          <w:rFonts w:asciiTheme="majorHAnsi" w:hAnsiTheme="majorHAnsi" w:cstheme="majorHAnsi"/>
          <w:color w:val="000000" w:themeColor="text1"/>
          <w:sz w:val="20"/>
          <w:szCs w:val="20"/>
          <w:lang w:val="en-GB"/>
        </w:rPr>
        <w:t xml:space="preserve"> to drive climate finance consistency, </w:t>
      </w:r>
    </w:p>
    <w:p w14:paraId="0C7D9072" w14:textId="2448DBCF" w:rsidR="00283B06" w:rsidRPr="005E3D7A" w:rsidRDefault="00283B06" w:rsidP="00E56302">
      <w:pPr>
        <w:pStyle w:val="ListParagraph"/>
        <w:numPr>
          <w:ilvl w:val="1"/>
          <w:numId w:val="18"/>
        </w:numPr>
        <w:spacing w:before="100" w:beforeAutospacing="1" w:after="100" w:afterAutospacing="1"/>
        <w:ind w:left="360"/>
        <w:jc w:val="both"/>
        <w:rPr>
          <w:rFonts w:asciiTheme="majorHAnsi" w:hAnsiTheme="majorHAnsi" w:cstheme="majorHAnsi"/>
          <w:color w:val="000000" w:themeColor="text1"/>
          <w:sz w:val="20"/>
          <w:szCs w:val="20"/>
          <w:lang w:val="en-GB"/>
        </w:rPr>
      </w:pPr>
      <w:r>
        <w:rPr>
          <w:rFonts w:asciiTheme="majorHAnsi" w:hAnsiTheme="majorHAnsi" w:cstheme="majorHAnsi"/>
          <w:color w:val="000000" w:themeColor="text1"/>
          <w:sz w:val="20"/>
          <w:szCs w:val="20"/>
          <w:lang w:val="en-GB"/>
        </w:rPr>
        <w:t>F</w:t>
      </w:r>
      <w:r w:rsidRPr="005E3D7A">
        <w:rPr>
          <w:rFonts w:asciiTheme="majorHAnsi" w:hAnsiTheme="majorHAnsi" w:cstheme="majorHAnsi"/>
          <w:color w:val="000000" w:themeColor="text1"/>
          <w:sz w:val="20"/>
          <w:szCs w:val="20"/>
          <w:lang w:val="en-GB"/>
        </w:rPr>
        <w:t xml:space="preserve">inancial support </w:t>
      </w:r>
      <w:r w:rsidR="004B6912">
        <w:rPr>
          <w:rFonts w:asciiTheme="majorHAnsi" w:hAnsiTheme="majorHAnsi" w:cstheme="majorHAnsi"/>
          <w:color w:val="000000" w:themeColor="text1"/>
          <w:sz w:val="20"/>
          <w:szCs w:val="20"/>
          <w:lang w:val="en-GB"/>
        </w:rPr>
        <w:t>and capacity building</w:t>
      </w:r>
      <w:r w:rsidR="004B6912" w:rsidRPr="005E3D7A">
        <w:rPr>
          <w:rFonts w:asciiTheme="majorHAnsi" w:hAnsiTheme="majorHAnsi" w:cstheme="majorHAnsi"/>
          <w:color w:val="000000" w:themeColor="text1"/>
          <w:sz w:val="20"/>
          <w:szCs w:val="20"/>
          <w:lang w:val="en-GB"/>
        </w:rPr>
        <w:t xml:space="preserve"> </w:t>
      </w:r>
      <w:r w:rsidR="004B6912">
        <w:rPr>
          <w:rFonts w:asciiTheme="majorHAnsi" w:hAnsiTheme="majorHAnsi" w:cstheme="majorHAnsi"/>
          <w:color w:val="000000" w:themeColor="text1"/>
          <w:sz w:val="20"/>
          <w:szCs w:val="20"/>
          <w:lang w:val="en-GB"/>
        </w:rPr>
        <w:t xml:space="preserve">support </w:t>
      </w:r>
      <w:r w:rsidRPr="005E3D7A">
        <w:rPr>
          <w:rFonts w:asciiTheme="majorHAnsi" w:hAnsiTheme="majorHAnsi" w:cstheme="majorHAnsi"/>
          <w:color w:val="000000" w:themeColor="text1"/>
          <w:sz w:val="20"/>
          <w:szCs w:val="20"/>
          <w:lang w:val="en-GB"/>
        </w:rPr>
        <w:t xml:space="preserve">from developed countries to developing countries in facilitating applying climate finance consistency, </w:t>
      </w:r>
      <w:r w:rsidRPr="00BC4F3A">
        <w:rPr>
          <w:rFonts w:asciiTheme="majorHAnsi" w:hAnsiTheme="majorHAnsi" w:cstheme="majorHAnsi"/>
          <w:i/>
          <w:iCs/>
          <w:color w:val="000000" w:themeColor="text1"/>
          <w:sz w:val="20"/>
          <w:szCs w:val="20"/>
          <w:lang w:val="en-GB"/>
        </w:rPr>
        <w:t>inter alia</w:t>
      </w:r>
      <w:r w:rsidRPr="005E3D7A">
        <w:rPr>
          <w:rFonts w:asciiTheme="majorHAnsi" w:hAnsiTheme="majorHAnsi" w:cstheme="majorHAnsi"/>
          <w:color w:val="000000" w:themeColor="text1"/>
          <w:sz w:val="20"/>
          <w:szCs w:val="20"/>
          <w:lang w:val="en-GB"/>
        </w:rPr>
        <w:t>, to:</w:t>
      </w:r>
    </w:p>
    <w:p w14:paraId="481B1EA9" w14:textId="2DD2A2AC" w:rsidR="00283B06" w:rsidRDefault="00283B06" w:rsidP="00E56302">
      <w:pPr>
        <w:pStyle w:val="ListParagraph"/>
        <w:numPr>
          <w:ilvl w:val="2"/>
          <w:numId w:val="17"/>
        </w:numPr>
        <w:tabs>
          <w:tab w:val="clear" w:pos="1800"/>
          <w:tab w:val="num" w:pos="360"/>
        </w:tabs>
        <w:ind w:left="1080"/>
        <w:jc w:val="both"/>
        <w:rPr>
          <w:rFonts w:asciiTheme="majorHAnsi" w:hAnsiTheme="majorHAnsi" w:cstheme="majorHAnsi"/>
          <w:color w:val="000000" w:themeColor="text1"/>
          <w:sz w:val="20"/>
          <w:szCs w:val="20"/>
          <w:lang w:val="en-GB"/>
        </w:rPr>
      </w:pPr>
      <w:r w:rsidRPr="005E3D7A">
        <w:rPr>
          <w:rFonts w:asciiTheme="majorHAnsi" w:hAnsiTheme="majorHAnsi" w:cstheme="majorHAnsi"/>
          <w:color w:val="000000" w:themeColor="text1"/>
          <w:sz w:val="20"/>
          <w:szCs w:val="20"/>
          <w:lang w:val="en-GB"/>
        </w:rPr>
        <w:t>Align public and private financial flows to the implementation of NDCs and long-term low emissions, resilient development</w:t>
      </w:r>
      <w:r w:rsidR="004B6912">
        <w:rPr>
          <w:rFonts w:asciiTheme="majorHAnsi" w:hAnsiTheme="majorHAnsi" w:cstheme="majorHAnsi"/>
          <w:color w:val="000000" w:themeColor="text1"/>
          <w:sz w:val="20"/>
          <w:szCs w:val="20"/>
          <w:lang w:val="en-GB"/>
        </w:rPr>
        <w:t xml:space="preserve"> and just transition</w:t>
      </w:r>
      <w:r w:rsidRPr="005E3D7A">
        <w:rPr>
          <w:rFonts w:asciiTheme="majorHAnsi" w:hAnsiTheme="majorHAnsi" w:cstheme="majorHAnsi"/>
          <w:color w:val="000000" w:themeColor="text1"/>
          <w:sz w:val="20"/>
          <w:szCs w:val="20"/>
          <w:lang w:val="en-GB"/>
        </w:rPr>
        <w:t xml:space="preserve"> strategies</w:t>
      </w:r>
    </w:p>
    <w:p w14:paraId="53740A8A" w14:textId="77777777" w:rsidR="00283B06" w:rsidRPr="005E3D7A" w:rsidRDefault="00283B06" w:rsidP="00E56302">
      <w:pPr>
        <w:pStyle w:val="ListParagraph"/>
        <w:numPr>
          <w:ilvl w:val="2"/>
          <w:numId w:val="17"/>
        </w:numPr>
        <w:tabs>
          <w:tab w:val="clear" w:pos="1800"/>
          <w:tab w:val="num" w:pos="360"/>
        </w:tabs>
        <w:ind w:left="1080"/>
        <w:jc w:val="both"/>
        <w:rPr>
          <w:rFonts w:asciiTheme="majorHAnsi" w:hAnsiTheme="majorHAnsi" w:cstheme="majorHAnsi"/>
          <w:color w:val="000000" w:themeColor="text1"/>
          <w:sz w:val="20"/>
          <w:szCs w:val="20"/>
          <w:lang w:val="en-GB"/>
        </w:rPr>
      </w:pPr>
      <w:r>
        <w:rPr>
          <w:rFonts w:asciiTheme="majorHAnsi" w:hAnsiTheme="majorHAnsi" w:cstheme="majorHAnsi"/>
          <w:color w:val="000000" w:themeColor="text1"/>
          <w:sz w:val="20"/>
          <w:szCs w:val="20"/>
          <w:lang w:val="en-GB"/>
        </w:rPr>
        <w:t xml:space="preserve">Enable public levers to drive climate finance consistency </w:t>
      </w:r>
      <w:r w:rsidRPr="005E3D7A">
        <w:rPr>
          <w:rFonts w:asciiTheme="majorHAnsi" w:hAnsiTheme="majorHAnsi" w:cstheme="majorHAnsi"/>
          <w:color w:val="000000" w:themeColor="text1"/>
          <w:sz w:val="20"/>
          <w:szCs w:val="20"/>
          <w:lang w:val="en-GB"/>
        </w:rPr>
        <w:t>(i.e. monetary/financial policy and regulation (standards, plans, accounting systems and lending requirements), fiscal policy (taxation, levies, royalties, public procurement, price support or controls), information instruments (certification and labelling, transparency initiatives, disclosure requirements), public finance and use of different financial instruments (loans, grants, guarantees, equity, insurance))</w:t>
      </w:r>
      <w:r>
        <w:rPr>
          <w:rStyle w:val="FootnoteReference"/>
          <w:rFonts w:asciiTheme="majorHAnsi" w:hAnsiTheme="majorHAnsi" w:cstheme="majorHAnsi"/>
          <w:color w:val="000000" w:themeColor="text1"/>
          <w:sz w:val="20"/>
          <w:szCs w:val="20"/>
          <w:lang w:val="en-GB"/>
        </w:rPr>
        <w:footnoteReference w:id="17"/>
      </w:r>
    </w:p>
    <w:p w14:paraId="25C54579" w14:textId="77777777" w:rsidR="00283B06" w:rsidRPr="005E3D7A" w:rsidRDefault="00283B06" w:rsidP="00E56302">
      <w:pPr>
        <w:pStyle w:val="ListParagraph"/>
        <w:numPr>
          <w:ilvl w:val="2"/>
          <w:numId w:val="17"/>
        </w:numPr>
        <w:tabs>
          <w:tab w:val="clear" w:pos="1800"/>
          <w:tab w:val="num" w:pos="1080"/>
        </w:tabs>
        <w:ind w:left="1080"/>
        <w:jc w:val="both"/>
        <w:rPr>
          <w:rFonts w:asciiTheme="majorHAnsi" w:hAnsiTheme="majorHAnsi" w:cstheme="majorHAnsi"/>
          <w:color w:val="000000" w:themeColor="text1"/>
          <w:sz w:val="20"/>
          <w:szCs w:val="20"/>
          <w:lang w:val="en-GB"/>
        </w:rPr>
      </w:pPr>
      <w:r w:rsidRPr="005E3D7A">
        <w:rPr>
          <w:rFonts w:asciiTheme="majorHAnsi" w:hAnsiTheme="majorHAnsi" w:cstheme="majorHAnsi"/>
          <w:color w:val="000000" w:themeColor="text1"/>
          <w:sz w:val="20"/>
          <w:szCs w:val="20"/>
          <w:lang w:val="en-GB"/>
        </w:rPr>
        <w:t>Set up national MRV systems for climate finance consistency</w:t>
      </w:r>
    </w:p>
    <w:p w14:paraId="1C06F7AB" w14:textId="77777777" w:rsidR="00283B06" w:rsidRPr="005E3D7A" w:rsidRDefault="00283B06" w:rsidP="00E56302">
      <w:pPr>
        <w:pStyle w:val="ListParagraph"/>
        <w:numPr>
          <w:ilvl w:val="2"/>
          <w:numId w:val="17"/>
        </w:numPr>
        <w:tabs>
          <w:tab w:val="clear" w:pos="1800"/>
          <w:tab w:val="num" w:pos="1080"/>
        </w:tabs>
        <w:ind w:left="1080"/>
        <w:jc w:val="both"/>
        <w:rPr>
          <w:rFonts w:asciiTheme="majorHAnsi" w:hAnsiTheme="majorHAnsi" w:cstheme="majorHAnsi"/>
          <w:color w:val="000000" w:themeColor="text1"/>
          <w:sz w:val="20"/>
          <w:szCs w:val="20"/>
        </w:rPr>
      </w:pPr>
      <w:r w:rsidRPr="005E3D7A">
        <w:rPr>
          <w:rFonts w:asciiTheme="majorHAnsi" w:hAnsiTheme="majorHAnsi" w:cstheme="majorHAnsi"/>
          <w:color w:val="000000" w:themeColor="text1"/>
          <w:sz w:val="20"/>
          <w:szCs w:val="20"/>
        </w:rPr>
        <w:t xml:space="preserve">Set up green taxonomies </w:t>
      </w:r>
    </w:p>
    <w:p w14:paraId="6FE5EB55" w14:textId="5993E693" w:rsidR="00356868" w:rsidRPr="004629C3" w:rsidRDefault="00283B06" w:rsidP="004B6912">
      <w:pPr>
        <w:pStyle w:val="ListParagraph"/>
        <w:numPr>
          <w:ilvl w:val="2"/>
          <w:numId w:val="17"/>
        </w:numPr>
        <w:tabs>
          <w:tab w:val="clear" w:pos="1800"/>
          <w:tab w:val="num" w:pos="1080"/>
        </w:tabs>
        <w:ind w:left="1080"/>
        <w:jc w:val="both"/>
        <w:rPr>
          <w:rFonts w:asciiTheme="majorHAnsi" w:hAnsiTheme="majorHAnsi" w:cstheme="majorHAnsi"/>
          <w:color w:val="000000" w:themeColor="text1"/>
          <w:sz w:val="20"/>
          <w:szCs w:val="20"/>
          <w:lang w:val="en-GB"/>
        </w:rPr>
      </w:pPr>
      <w:r w:rsidRPr="005E3D7A">
        <w:rPr>
          <w:rFonts w:asciiTheme="majorHAnsi" w:hAnsiTheme="majorHAnsi" w:cstheme="majorHAnsi"/>
          <w:color w:val="000000" w:themeColor="text1"/>
          <w:sz w:val="20"/>
          <w:szCs w:val="20"/>
          <w:lang w:val="en-GB"/>
        </w:rPr>
        <w:t>Enhance the ability of national and local environments to attract green private finance</w:t>
      </w:r>
      <w:r w:rsidR="004B6912">
        <w:rPr>
          <w:rFonts w:asciiTheme="majorHAnsi" w:hAnsiTheme="majorHAnsi" w:cstheme="majorHAnsi"/>
          <w:color w:val="000000" w:themeColor="text1"/>
          <w:sz w:val="20"/>
          <w:szCs w:val="20"/>
          <w:lang w:val="en-GB"/>
        </w:rPr>
        <w:t xml:space="preserve"> and provide incentives to low-emissions activities</w:t>
      </w:r>
    </w:p>
    <w:p w14:paraId="1A738FE2" w14:textId="77777777" w:rsidR="00283B06" w:rsidRPr="005E3D7A" w:rsidRDefault="00283B06" w:rsidP="00E56302">
      <w:pPr>
        <w:pStyle w:val="ListParagraph"/>
        <w:numPr>
          <w:ilvl w:val="1"/>
          <w:numId w:val="17"/>
        </w:numPr>
        <w:ind w:left="360"/>
        <w:jc w:val="both"/>
        <w:rPr>
          <w:rFonts w:asciiTheme="majorHAnsi" w:hAnsiTheme="majorHAnsi" w:cstheme="majorHAnsi"/>
          <w:color w:val="000000" w:themeColor="text1"/>
          <w:sz w:val="20"/>
          <w:szCs w:val="20"/>
          <w:lang w:val="en-GB"/>
        </w:rPr>
      </w:pPr>
      <w:r w:rsidRPr="005E3D7A">
        <w:rPr>
          <w:rFonts w:asciiTheme="majorHAnsi" w:hAnsiTheme="majorHAnsi" w:cstheme="majorHAnsi"/>
          <w:color w:val="000000" w:themeColor="text1"/>
          <w:sz w:val="20"/>
          <w:szCs w:val="20"/>
          <w:lang w:val="en-GB"/>
        </w:rPr>
        <w:t>Enhanced transparency in relation to the implementation of Article 2.1c in order to provide high-quality detailed information to be taken into account in the Global Stocktake, as well as inclusion in the reporting of the provision and mobilization of financial support to developing countries for the specific purpose of enabling climate finance consistency, through an additional column to CTFs of support provided and mobilized for 2.1.c, which should be added up and assessed as an input to the GST.</w:t>
      </w:r>
    </w:p>
    <w:p w14:paraId="2A8E9731" w14:textId="4D3888CE" w:rsidR="00283B06" w:rsidRPr="009959DB" w:rsidRDefault="00283B06" w:rsidP="00E56302">
      <w:pPr>
        <w:pStyle w:val="ListParagraph"/>
        <w:numPr>
          <w:ilvl w:val="1"/>
          <w:numId w:val="17"/>
        </w:numPr>
        <w:ind w:left="360"/>
        <w:jc w:val="both"/>
        <w:rPr>
          <w:rFonts w:asciiTheme="majorHAnsi" w:hAnsiTheme="majorHAnsi" w:cstheme="majorHAnsi"/>
          <w:b/>
          <w:bCs/>
          <w:color w:val="000000" w:themeColor="text1"/>
          <w:lang w:val="en-GB"/>
        </w:rPr>
      </w:pPr>
      <w:r w:rsidRPr="005E3D7A">
        <w:rPr>
          <w:rFonts w:asciiTheme="majorHAnsi" w:hAnsiTheme="majorHAnsi" w:cstheme="majorHAnsi"/>
          <w:color w:val="000000" w:themeColor="text1"/>
          <w:sz w:val="20"/>
          <w:szCs w:val="20"/>
          <w:lang w:val="en-GB"/>
        </w:rPr>
        <w:t xml:space="preserve">Increased engagement with </w:t>
      </w:r>
      <w:r w:rsidRPr="005E3D7A">
        <w:rPr>
          <w:rFonts w:asciiTheme="majorHAnsi" w:hAnsiTheme="majorHAnsi"/>
          <w:color w:val="000000" w:themeColor="text1"/>
          <w:sz w:val="20"/>
          <w:szCs w:val="20"/>
          <w:lang w:val="en-US"/>
        </w:rPr>
        <w:t>different financial stakeholders</w:t>
      </w:r>
      <w:r w:rsidRPr="005E3D7A">
        <w:rPr>
          <w:rStyle w:val="FootnoteReference"/>
          <w:rFonts w:asciiTheme="majorHAnsi" w:hAnsiTheme="majorHAnsi"/>
          <w:color w:val="000000" w:themeColor="text1"/>
          <w:sz w:val="20"/>
          <w:szCs w:val="20"/>
          <w:lang w:val="en-US"/>
        </w:rPr>
        <w:t xml:space="preserve"> </w:t>
      </w:r>
      <w:r w:rsidRPr="005E3D7A">
        <w:rPr>
          <w:rFonts w:asciiTheme="majorHAnsi" w:hAnsiTheme="majorHAnsi"/>
          <w:color w:val="000000" w:themeColor="text1"/>
          <w:sz w:val="20"/>
          <w:szCs w:val="20"/>
          <w:lang w:val="en-US"/>
        </w:rPr>
        <w:t>(</w:t>
      </w:r>
      <w:r>
        <w:rPr>
          <w:rFonts w:asciiTheme="majorHAnsi" w:hAnsiTheme="majorHAnsi"/>
          <w:color w:val="000000" w:themeColor="text1"/>
          <w:sz w:val="20"/>
          <w:szCs w:val="20"/>
          <w:lang w:val="en-US"/>
        </w:rPr>
        <w:t xml:space="preserve">Figure </w:t>
      </w:r>
      <w:r w:rsidR="00EB1357">
        <w:rPr>
          <w:rFonts w:asciiTheme="majorHAnsi" w:hAnsiTheme="majorHAnsi"/>
          <w:color w:val="000000" w:themeColor="text1"/>
          <w:sz w:val="20"/>
          <w:szCs w:val="20"/>
          <w:lang w:val="en-US"/>
        </w:rPr>
        <w:t>4</w:t>
      </w:r>
      <w:r w:rsidRPr="005E3D7A">
        <w:rPr>
          <w:rFonts w:asciiTheme="majorHAnsi" w:hAnsiTheme="majorHAnsi"/>
          <w:color w:val="000000" w:themeColor="text1"/>
          <w:sz w:val="20"/>
          <w:szCs w:val="20"/>
          <w:lang w:val="en-US"/>
        </w:rPr>
        <w:t>) through a guiding framework and regulatory guidance that provide with concrete signals and benchmarks over climate finance consistency to marshal necessary investments towards climate-compatible, sustainable and resilient infrastructure and technologies, and avoid stranded assets</w:t>
      </w:r>
    </w:p>
    <w:p w14:paraId="3B4AEA40" w14:textId="77777777" w:rsidR="00283B06" w:rsidRPr="00604C24" w:rsidRDefault="00283B06" w:rsidP="00283B06">
      <w:pPr>
        <w:jc w:val="both"/>
        <w:rPr>
          <w:rFonts w:asciiTheme="majorHAnsi" w:hAnsiTheme="majorHAnsi" w:cstheme="minorHAnsi"/>
          <w:sz w:val="20"/>
        </w:rPr>
      </w:pPr>
      <w:r w:rsidRPr="00604C24">
        <w:rPr>
          <w:rFonts w:asciiTheme="majorHAnsi" w:hAnsiTheme="majorHAnsi" w:cstheme="minorHAnsi"/>
          <w:b/>
          <w:i/>
          <w:noProof/>
          <w:color w:val="3494BA" w:themeColor="accent1"/>
          <w:lang w:val="es-PE" w:eastAsia="es-PE"/>
        </w:rPr>
        <w:lastRenderedPageBreak/>
        <w:drawing>
          <wp:inline distT="0" distB="0" distL="0" distR="0" wp14:anchorId="46D840EB" wp14:editId="15A70AEA">
            <wp:extent cx="5594166" cy="2263140"/>
            <wp:effectExtent l="50800" t="25400" r="45085" b="6096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632B1D3" w14:textId="500EBCE5" w:rsidR="00283B06" w:rsidRDefault="00283B06" w:rsidP="00283B06">
      <w:pPr>
        <w:jc w:val="both"/>
        <w:rPr>
          <w:rFonts w:asciiTheme="majorHAnsi" w:hAnsiTheme="majorHAnsi" w:cstheme="minorHAnsi"/>
          <w:sz w:val="20"/>
          <w:lang w:val="en-US"/>
        </w:rPr>
      </w:pPr>
      <w:r w:rsidRPr="00604C24">
        <w:rPr>
          <w:rFonts w:asciiTheme="majorHAnsi" w:hAnsiTheme="majorHAnsi" w:cstheme="minorHAnsi"/>
          <w:b/>
          <w:sz w:val="20"/>
          <w:lang w:val="en-US"/>
        </w:rPr>
        <w:t xml:space="preserve"> </w:t>
      </w:r>
      <w:r w:rsidRPr="00604C24">
        <w:rPr>
          <w:rFonts w:asciiTheme="majorHAnsi" w:hAnsiTheme="majorHAnsi" w:cstheme="minorHAnsi"/>
          <w:color w:val="3494BA" w:themeColor="accent1"/>
          <w:sz w:val="20"/>
          <w:lang w:val="en-US"/>
        </w:rPr>
        <w:t xml:space="preserve">Figure </w:t>
      </w:r>
      <w:r w:rsidR="00EB1357">
        <w:rPr>
          <w:rFonts w:asciiTheme="majorHAnsi" w:hAnsiTheme="majorHAnsi" w:cstheme="minorHAnsi"/>
          <w:color w:val="3494BA" w:themeColor="accent1"/>
          <w:sz w:val="20"/>
          <w:lang w:val="en-US"/>
        </w:rPr>
        <w:t>4</w:t>
      </w:r>
      <w:r w:rsidRPr="00604C24">
        <w:rPr>
          <w:rFonts w:asciiTheme="majorHAnsi" w:hAnsiTheme="majorHAnsi" w:cstheme="minorHAnsi"/>
          <w:color w:val="3494BA" w:themeColor="accent1"/>
          <w:sz w:val="20"/>
          <w:lang w:val="en-US"/>
        </w:rPr>
        <w:t>. Relevant actors to direct investments towards low-emissions, resilient development models</w:t>
      </w:r>
    </w:p>
    <w:p w14:paraId="1ECD7639" w14:textId="5E379F66" w:rsidR="00283B06" w:rsidRPr="00BC4F3A" w:rsidRDefault="00283B06" w:rsidP="00283B06">
      <w:pPr>
        <w:jc w:val="both"/>
        <w:rPr>
          <w:rFonts w:asciiTheme="majorHAnsi" w:hAnsiTheme="majorHAnsi" w:cstheme="minorHAnsi"/>
          <w:b/>
          <w:color w:val="3494BA" w:themeColor="accent1"/>
          <w:lang w:val="en-US"/>
        </w:rPr>
      </w:pPr>
      <w:r>
        <w:rPr>
          <w:rFonts w:asciiTheme="majorHAnsi" w:hAnsiTheme="majorHAnsi" w:cstheme="minorHAnsi"/>
          <w:sz w:val="20"/>
          <w:szCs w:val="20"/>
          <w:lang w:val="en-US"/>
        </w:rPr>
        <w:t>This guiding framework for the abovementioned</w:t>
      </w:r>
      <w:r>
        <w:rPr>
          <w:rFonts w:asciiTheme="majorHAnsi" w:hAnsiTheme="majorHAnsi" w:cstheme="minorHAnsi"/>
          <w:sz w:val="20"/>
          <w:lang w:val="en-US"/>
        </w:rPr>
        <w:t xml:space="preserve"> stakeholders should include the mainstreaming</w:t>
      </w:r>
      <w:r>
        <w:rPr>
          <w:rFonts w:asciiTheme="majorHAnsi" w:hAnsiTheme="majorHAnsi" w:cstheme="minorHAnsi"/>
          <w:sz w:val="20"/>
          <w:lang w:val="en-GB"/>
        </w:rPr>
        <w:t xml:space="preserve"> mitigation and adaptation</w:t>
      </w:r>
      <w:r w:rsidRPr="00C75985">
        <w:rPr>
          <w:rFonts w:asciiTheme="majorHAnsi" w:hAnsiTheme="majorHAnsi" w:cstheme="minorHAnsi"/>
          <w:sz w:val="20"/>
          <w:lang w:val="en-GB"/>
        </w:rPr>
        <w:t xml:space="preserve"> climate considerations into investment decisions, policies and planning and align</w:t>
      </w:r>
      <w:r w:rsidRPr="00604C24">
        <w:rPr>
          <w:rStyle w:val="FootnoteReference"/>
          <w:rFonts w:asciiTheme="majorHAnsi" w:hAnsiTheme="majorHAnsi" w:cstheme="minorHAnsi"/>
          <w:sz w:val="20"/>
        </w:rPr>
        <w:footnoteReference w:id="18"/>
      </w:r>
      <w:r w:rsidRPr="00C75985">
        <w:rPr>
          <w:rFonts w:asciiTheme="majorHAnsi" w:hAnsiTheme="majorHAnsi" w:cstheme="minorHAnsi"/>
          <w:sz w:val="20"/>
          <w:lang w:val="en-GB"/>
        </w:rPr>
        <w:t xml:space="preserve"> portfolios with the long-term goals of the Paris Agreement </w:t>
      </w:r>
      <w:r>
        <w:rPr>
          <w:rFonts w:asciiTheme="majorHAnsi" w:hAnsiTheme="majorHAnsi" w:cstheme="minorHAnsi"/>
          <w:sz w:val="20"/>
          <w:lang w:val="en-GB"/>
        </w:rPr>
        <w:t>starting by</w:t>
      </w:r>
      <w:r w:rsidRPr="00C75985">
        <w:rPr>
          <w:rFonts w:asciiTheme="majorHAnsi" w:hAnsiTheme="majorHAnsi" w:cstheme="minorHAnsi"/>
          <w:sz w:val="20"/>
          <w:lang w:val="en-GB"/>
        </w:rPr>
        <w:t xml:space="preserve"> </w:t>
      </w:r>
      <w:r w:rsidRPr="00C75985">
        <w:rPr>
          <w:rFonts w:asciiTheme="majorHAnsi" w:hAnsiTheme="majorHAnsi" w:cstheme="minorHAnsi"/>
          <w:b/>
          <w:bCs/>
          <w:sz w:val="20"/>
          <w:lang w:val="en-GB"/>
        </w:rPr>
        <w:t>aim</w:t>
      </w:r>
      <w:r>
        <w:rPr>
          <w:rFonts w:asciiTheme="majorHAnsi" w:hAnsiTheme="majorHAnsi" w:cstheme="minorHAnsi"/>
          <w:b/>
          <w:bCs/>
          <w:sz w:val="20"/>
          <w:lang w:val="en-GB"/>
        </w:rPr>
        <w:t>ing</w:t>
      </w:r>
      <w:r w:rsidRPr="00C75985">
        <w:rPr>
          <w:rFonts w:asciiTheme="majorHAnsi" w:hAnsiTheme="majorHAnsi" w:cstheme="minorHAnsi"/>
          <w:b/>
          <w:bCs/>
          <w:sz w:val="20"/>
          <w:lang w:val="en-GB"/>
        </w:rPr>
        <w:t xml:space="preserve"> to transition investment and budgetary portfolios to net-zero GHG emissions</w:t>
      </w:r>
      <w:r>
        <w:rPr>
          <w:rFonts w:asciiTheme="majorHAnsi" w:hAnsiTheme="majorHAnsi" w:cstheme="minorHAnsi"/>
          <w:b/>
          <w:bCs/>
          <w:sz w:val="20"/>
          <w:lang w:val="en-GB"/>
        </w:rPr>
        <w:t xml:space="preserve"> and climate resilient development</w:t>
      </w:r>
      <w:r w:rsidRPr="00C75985">
        <w:rPr>
          <w:rFonts w:asciiTheme="majorHAnsi" w:hAnsiTheme="majorHAnsi" w:cstheme="minorHAnsi"/>
          <w:b/>
          <w:bCs/>
          <w:sz w:val="20"/>
          <w:lang w:val="en-GB"/>
        </w:rPr>
        <w:t xml:space="preserve"> by 2050 and to disclose climate-related risks and opportunities, including with regards to the organization</w:t>
      </w:r>
      <w:r>
        <w:rPr>
          <w:rFonts w:asciiTheme="majorHAnsi" w:hAnsiTheme="majorHAnsi" w:cstheme="minorHAnsi"/>
          <w:b/>
          <w:bCs/>
          <w:sz w:val="20"/>
          <w:lang w:val="en-GB"/>
        </w:rPr>
        <w:t>’</w:t>
      </w:r>
      <w:r w:rsidRPr="00C75985">
        <w:rPr>
          <w:rFonts w:asciiTheme="majorHAnsi" w:hAnsiTheme="majorHAnsi" w:cstheme="minorHAnsi"/>
          <w:b/>
          <w:bCs/>
          <w:sz w:val="20"/>
          <w:lang w:val="en-GB"/>
        </w:rPr>
        <w:t>s budgetary/businesses/strategy/financial planning as well as its metrics and targets</w:t>
      </w:r>
      <w:r w:rsidRPr="00C75985">
        <w:rPr>
          <w:rStyle w:val="FootnoteReference"/>
          <w:rFonts w:asciiTheme="majorHAnsi" w:hAnsiTheme="majorHAnsi" w:cstheme="minorHAnsi"/>
          <w:b/>
          <w:bCs/>
          <w:sz w:val="20"/>
        </w:rPr>
        <w:footnoteReference w:id="19"/>
      </w:r>
      <w:r w:rsidRPr="00C75985">
        <w:rPr>
          <w:rFonts w:asciiTheme="majorHAnsi" w:hAnsiTheme="majorHAnsi" w:cstheme="minorHAnsi"/>
          <w:b/>
          <w:bCs/>
          <w:sz w:val="20"/>
          <w:lang w:val="en-GB"/>
        </w:rPr>
        <w:t>, and the carbon footprint of investment and budgetary portfolios</w:t>
      </w:r>
      <w:r w:rsidRPr="00C75985">
        <w:rPr>
          <w:rStyle w:val="FootnoteReference"/>
          <w:rFonts w:asciiTheme="majorHAnsi" w:hAnsiTheme="majorHAnsi" w:cstheme="minorHAnsi"/>
          <w:sz w:val="20"/>
        </w:rPr>
        <w:footnoteReference w:id="20"/>
      </w:r>
      <w:r w:rsidRPr="00C75985">
        <w:rPr>
          <w:rFonts w:asciiTheme="majorHAnsi" w:hAnsiTheme="majorHAnsi" w:cstheme="minorHAnsi"/>
          <w:sz w:val="20"/>
          <w:lang w:val="en-GB"/>
        </w:rPr>
        <w:t>. It should also aim to</w:t>
      </w:r>
      <w:r>
        <w:rPr>
          <w:rFonts w:asciiTheme="majorHAnsi" w:hAnsiTheme="majorHAnsi" w:cstheme="minorHAnsi"/>
          <w:sz w:val="20"/>
          <w:lang w:val="en-GB"/>
        </w:rPr>
        <w:t xml:space="preserve"> the following</w:t>
      </w:r>
      <w:r w:rsidRPr="00C75985">
        <w:rPr>
          <w:rFonts w:asciiTheme="majorHAnsi" w:hAnsiTheme="majorHAnsi" w:cstheme="minorHAnsi"/>
          <w:sz w:val="20"/>
          <w:lang w:val="en-GB"/>
        </w:rPr>
        <w:t>:</w:t>
      </w:r>
    </w:p>
    <w:p w14:paraId="4B3D22C7" w14:textId="77777777" w:rsidR="00283B06" w:rsidRPr="00604C24" w:rsidRDefault="00283B06" w:rsidP="00283B06">
      <w:pPr>
        <w:jc w:val="both"/>
        <w:rPr>
          <w:rFonts w:asciiTheme="majorHAnsi" w:hAnsiTheme="majorHAnsi" w:cstheme="minorHAnsi"/>
          <w:b/>
          <w:sz w:val="20"/>
          <w:lang w:val="en-GB"/>
        </w:rPr>
      </w:pPr>
      <w:r w:rsidRPr="00604C24">
        <w:rPr>
          <w:rFonts w:asciiTheme="majorHAnsi" w:hAnsiTheme="majorHAnsi" w:cstheme="minorHAnsi"/>
          <w:b/>
          <w:sz w:val="20"/>
          <w:lang w:val="en-GB"/>
        </w:rPr>
        <w:t xml:space="preserve">Governments (including </w:t>
      </w:r>
      <w:r>
        <w:rPr>
          <w:rFonts w:asciiTheme="majorHAnsi" w:hAnsiTheme="majorHAnsi" w:cstheme="minorHAnsi"/>
          <w:b/>
          <w:sz w:val="20"/>
          <w:lang w:val="en-GB"/>
        </w:rPr>
        <w:t xml:space="preserve">subnational, </w:t>
      </w:r>
      <w:r w:rsidRPr="00604C24">
        <w:rPr>
          <w:rFonts w:asciiTheme="majorHAnsi" w:hAnsiTheme="majorHAnsi" w:cstheme="minorHAnsi"/>
          <w:b/>
          <w:sz w:val="20"/>
          <w:lang w:val="en-GB"/>
        </w:rPr>
        <w:t>city and local governments)</w:t>
      </w:r>
    </w:p>
    <w:p w14:paraId="036BFD5F" w14:textId="77777777" w:rsidR="00283B06" w:rsidRPr="00604C24" w:rsidRDefault="00283B06" w:rsidP="00283B06">
      <w:pPr>
        <w:pStyle w:val="ListParagraph"/>
        <w:numPr>
          <w:ilvl w:val="1"/>
          <w:numId w:val="9"/>
        </w:numPr>
        <w:ind w:left="426"/>
        <w:jc w:val="both"/>
        <w:rPr>
          <w:rFonts w:asciiTheme="majorHAnsi" w:hAnsiTheme="majorHAnsi" w:cstheme="minorHAnsi"/>
          <w:sz w:val="20"/>
          <w:lang w:val="en-GB"/>
        </w:rPr>
      </w:pPr>
      <w:r w:rsidRPr="00604C24">
        <w:rPr>
          <w:rFonts w:asciiTheme="majorHAnsi" w:hAnsiTheme="majorHAnsi" w:cstheme="minorHAnsi"/>
          <w:sz w:val="20"/>
          <w:lang w:val="en-US"/>
        </w:rPr>
        <w:t>Align national policies to strong and ambitious NDCs and long-term low-emissions and resilient development strategies and the long-term goals of the Agreement, in order to foster high-quality and meaningful projects, programs and actions</w:t>
      </w:r>
    </w:p>
    <w:p w14:paraId="60E3C727" w14:textId="77777777" w:rsidR="00283B06" w:rsidRDefault="00283B06" w:rsidP="00283B06">
      <w:pPr>
        <w:pStyle w:val="ListParagraph"/>
        <w:numPr>
          <w:ilvl w:val="1"/>
          <w:numId w:val="9"/>
        </w:numPr>
        <w:ind w:left="426"/>
        <w:jc w:val="both"/>
        <w:rPr>
          <w:rFonts w:asciiTheme="majorHAnsi" w:hAnsiTheme="majorHAnsi" w:cstheme="minorHAnsi"/>
          <w:sz w:val="20"/>
          <w:lang w:val="en-GB"/>
        </w:rPr>
      </w:pPr>
      <w:r w:rsidRPr="00604C24">
        <w:rPr>
          <w:rFonts w:asciiTheme="majorHAnsi" w:hAnsiTheme="majorHAnsi" w:cstheme="minorHAnsi"/>
          <w:sz w:val="20"/>
          <w:lang w:val="en-GB"/>
        </w:rPr>
        <w:t>Prepare and develop investment programs and projects consistent with NDC plans</w:t>
      </w:r>
      <w:r>
        <w:rPr>
          <w:rFonts w:asciiTheme="majorHAnsi" w:hAnsiTheme="majorHAnsi" w:cstheme="minorHAnsi"/>
          <w:sz w:val="20"/>
          <w:lang w:val="en-GB"/>
        </w:rPr>
        <w:t>, Adaptation Plans</w:t>
      </w:r>
      <w:r w:rsidRPr="00604C24">
        <w:rPr>
          <w:rFonts w:asciiTheme="majorHAnsi" w:hAnsiTheme="majorHAnsi" w:cstheme="minorHAnsi"/>
          <w:sz w:val="20"/>
          <w:lang w:val="en-GB"/>
        </w:rPr>
        <w:t xml:space="preserve"> and the LTS</w:t>
      </w:r>
    </w:p>
    <w:p w14:paraId="1D5C125D" w14:textId="77777777" w:rsidR="00283B06" w:rsidRPr="00604C24" w:rsidRDefault="00283B06" w:rsidP="00283B06">
      <w:pPr>
        <w:pStyle w:val="ListParagraph"/>
        <w:numPr>
          <w:ilvl w:val="1"/>
          <w:numId w:val="9"/>
        </w:numPr>
        <w:ind w:left="426"/>
        <w:jc w:val="both"/>
        <w:rPr>
          <w:rFonts w:asciiTheme="majorHAnsi" w:hAnsiTheme="majorHAnsi" w:cstheme="minorHAnsi"/>
          <w:sz w:val="20"/>
          <w:lang w:val="en-GB"/>
        </w:rPr>
      </w:pPr>
      <w:r>
        <w:rPr>
          <w:rFonts w:asciiTheme="majorHAnsi" w:hAnsiTheme="majorHAnsi" w:cstheme="minorHAnsi"/>
          <w:sz w:val="20"/>
          <w:lang w:val="en-GB"/>
        </w:rPr>
        <w:t>Develop green taxonomies to drive these investment programs and projects</w:t>
      </w:r>
    </w:p>
    <w:p w14:paraId="7039428A" w14:textId="77777777" w:rsidR="00283B06" w:rsidRPr="00604C24" w:rsidRDefault="00283B06" w:rsidP="00283B06">
      <w:pPr>
        <w:pStyle w:val="ListParagraph"/>
        <w:numPr>
          <w:ilvl w:val="1"/>
          <w:numId w:val="9"/>
        </w:numPr>
        <w:ind w:left="426"/>
        <w:jc w:val="both"/>
        <w:rPr>
          <w:rFonts w:asciiTheme="majorHAnsi" w:hAnsiTheme="majorHAnsi" w:cstheme="minorHAnsi"/>
          <w:sz w:val="20"/>
          <w:lang w:val="en-GB"/>
        </w:rPr>
      </w:pPr>
      <w:r w:rsidRPr="00604C24">
        <w:rPr>
          <w:rFonts w:asciiTheme="majorHAnsi" w:hAnsiTheme="majorHAnsi" w:cstheme="minorHAnsi"/>
          <w:sz w:val="20"/>
          <w:lang w:val="en-GB"/>
        </w:rPr>
        <w:t>Scaling up sustainable</w:t>
      </w:r>
      <w:r>
        <w:rPr>
          <w:rFonts w:asciiTheme="majorHAnsi" w:hAnsiTheme="majorHAnsi" w:cstheme="minorHAnsi"/>
          <w:sz w:val="20"/>
          <w:lang w:val="en-GB"/>
        </w:rPr>
        <w:t>, low-emissions, resilient</w:t>
      </w:r>
      <w:r w:rsidRPr="00604C24">
        <w:rPr>
          <w:rFonts w:asciiTheme="majorHAnsi" w:hAnsiTheme="majorHAnsi" w:cstheme="minorHAnsi"/>
          <w:sz w:val="20"/>
          <w:lang w:val="en-GB"/>
        </w:rPr>
        <w:t xml:space="preserve"> infrastructure investments through the developing of platforms for project preparation that include sustainable criteria and project guidance</w:t>
      </w:r>
    </w:p>
    <w:p w14:paraId="5FBA9048" w14:textId="77777777" w:rsidR="00283B06" w:rsidRPr="00604C24" w:rsidRDefault="00283B06" w:rsidP="00283B06">
      <w:pPr>
        <w:pStyle w:val="ListParagraph"/>
        <w:numPr>
          <w:ilvl w:val="1"/>
          <w:numId w:val="9"/>
        </w:numPr>
        <w:ind w:left="426"/>
        <w:jc w:val="both"/>
        <w:rPr>
          <w:rFonts w:asciiTheme="majorHAnsi" w:hAnsiTheme="majorHAnsi" w:cstheme="minorHAnsi"/>
          <w:sz w:val="20"/>
          <w:lang w:val="en-GB"/>
        </w:rPr>
      </w:pPr>
      <w:r w:rsidRPr="00604C24">
        <w:rPr>
          <w:rFonts w:asciiTheme="majorHAnsi" w:hAnsiTheme="majorHAnsi" w:cstheme="minorHAnsi"/>
          <w:sz w:val="20"/>
          <w:lang w:val="en-GB"/>
        </w:rPr>
        <w:t>Increase investment in R&amp;D that can accelerate the deployment of new clean</w:t>
      </w:r>
      <w:r>
        <w:rPr>
          <w:rFonts w:asciiTheme="majorHAnsi" w:hAnsiTheme="majorHAnsi" w:cstheme="minorHAnsi"/>
          <w:sz w:val="20"/>
          <w:lang w:val="en-GB"/>
        </w:rPr>
        <w:t>, low-emissions, resilient</w:t>
      </w:r>
      <w:r w:rsidRPr="00604C24">
        <w:rPr>
          <w:rFonts w:asciiTheme="majorHAnsi" w:hAnsiTheme="majorHAnsi" w:cstheme="minorHAnsi"/>
          <w:sz w:val="20"/>
          <w:lang w:val="en-GB"/>
        </w:rPr>
        <w:t xml:space="preserve"> technologies </w:t>
      </w:r>
    </w:p>
    <w:p w14:paraId="133E0695" w14:textId="77777777" w:rsidR="00283B06" w:rsidRPr="00604C24" w:rsidRDefault="00283B06" w:rsidP="00283B06">
      <w:pPr>
        <w:pStyle w:val="ListParagraph"/>
        <w:numPr>
          <w:ilvl w:val="1"/>
          <w:numId w:val="9"/>
        </w:numPr>
        <w:ind w:left="426"/>
        <w:jc w:val="both"/>
        <w:rPr>
          <w:rFonts w:asciiTheme="majorHAnsi" w:hAnsiTheme="majorHAnsi" w:cstheme="minorHAnsi"/>
          <w:sz w:val="20"/>
          <w:lang w:val="en-GB"/>
        </w:rPr>
      </w:pPr>
      <w:r w:rsidRPr="00604C24">
        <w:rPr>
          <w:rFonts w:asciiTheme="majorHAnsi" w:hAnsiTheme="majorHAnsi" w:cstheme="minorHAnsi"/>
          <w:sz w:val="20"/>
          <w:lang w:val="en-GB"/>
        </w:rPr>
        <w:t>Work towards measures that can enhance the effectiveness, equity and acceptability of carbon pricing</w:t>
      </w:r>
      <w:r w:rsidRPr="00604C24">
        <w:rPr>
          <w:rStyle w:val="FootnoteReference"/>
          <w:rFonts w:asciiTheme="majorHAnsi" w:hAnsiTheme="majorHAnsi" w:cstheme="minorHAnsi"/>
          <w:sz w:val="20"/>
        </w:rPr>
        <w:footnoteReference w:id="21"/>
      </w:r>
      <w:r w:rsidRPr="00604C24">
        <w:rPr>
          <w:rFonts w:asciiTheme="majorHAnsi" w:hAnsiTheme="majorHAnsi" w:cstheme="minorHAnsi"/>
          <w:sz w:val="20"/>
          <w:lang w:val="en-GB"/>
        </w:rPr>
        <w:t xml:space="preserve"> according to national circumstances</w:t>
      </w:r>
    </w:p>
    <w:p w14:paraId="4D8F2F3C" w14:textId="77777777" w:rsidR="00283B06" w:rsidRPr="00604C24" w:rsidRDefault="00283B06" w:rsidP="00283B06">
      <w:pPr>
        <w:pStyle w:val="ListParagraph"/>
        <w:numPr>
          <w:ilvl w:val="1"/>
          <w:numId w:val="9"/>
        </w:numPr>
        <w:ind w:left="426"/>
        <w:jc w:val="both"/>
        <w:rPr>
          <w:rFonts w:asciiTheme="majorHAnsi" w:hAnsiTheme="majorHAnsi" w:cstheme="minorHAnsi"/>
          <w:sz w:val="20"/>
          <w:lang w:val="en-GB"/>
        </w:rPr>
      </w:pPr>
      <w:r w:rsidRPr="00604C24">
        <w:rPr>
          <w:rFonts w:asciiTheme="majorHAnsi" w:hAnsiTheme="majorHAnsi" w:cstheme="minorHAnsi"/>
          <w:sz w:val="20"/>
          <w:lang w:val="en-GB"/>
        </w:rPr>
        <w:t>Take climate change into account in macroeconomic policy, fiscal planning, budgeting, public investment management, and procurement practices</w:t>
      </w:r>
      <w:r w:rsidRPr="00604C24">
        <w:rPr>
          <w:rStyle w:val="FootnoteReference"/>
          <w:rFonts w:asciiTheme="majorHAnsi" w:hAnsiTheme="majorHAnsi" w:cstheme="minorHAnsi"/>
          <w:sz w:val="20"/>
        </w:rPr>
        <w:footnoteReference w:id="22"/>
      </w:r>
      <w:r w:rsidRPr="00604C24">
        <w:rPr>
          <w:rFonts w:asciiTheme="majorHAnsi" w:hAnsiTheme="majorHAnsi" w:cstheme="minorHAnsi"/>
          <w:sz w:val="20"/>
          <w:lang w:val="en-GB"/>
        </w:rPr>
        <w:t>, including through:</w:t>
      </w:r>
    </w:p>
    <w:p w14:paraId="0913F7FA" w14:textId="77777777" w:rsidR="00283B06" w:rsidRPr="00604C24" w:rsidRDefault="00283B06" w:rsidP="00283B06">
      <w:pPr>
        <w:pStyle w:val="ListParagraph"/>
        <w:numPr>
          <w:ilvl w:val="2"/>
          <w:numId w:val="9"/>
        </w:numPr>
        <w:jc w:val="both"/>
        <w:rPr>
          <w:rFonts w:asciiTheme="majorHAnsi" w:hAnsiTheme="majorHAnsi" w:cstheme="minorHAnsi"/>
          <w:sz w:val="20"/>
          <w:lang w:val="en-GB"/>
        </w:rPr>
      </w:pPr>
      <w:r w:rsidRPr="00604C24">
        <w:rPr>
          <w:rFonts w:asciiTheme="majorHAnsi" w:hAnsiTheme="majorHAnsi" w:cstheme="minorHAnsi"/>
          <w:sz w:val="20"/>
          <w:lang w:val="en-GB"/>
        </w:rPr>
        <w:lastRenderedPageBreak/>
        <w:t>Foster that mandates of state-owned enterprises, when applicable, cooperation agencies, export credit agencies and public investment funds, national budgets and expenditures are compatible with climate goals</w:t>
      </w:r>
      <w:r w:rsidRPr="00604C24">
        <w:rPr>
          <w:rStyle w:val="FootnoteReference"/>
          <w:rFonts w:asciiTheme="majorHAnsi" w:hAnsiTheme="majorHAnsi" w:cstheme="minorHAnsi"/>
          <w:sz w:val="20"/>
        </w:rPr>
        <w:footnoteReference w:id="23"/>
      </w:r>
    </w:p>
    <w:p w14:paraId="5E1CE9DD" w14:textId="77777777" w:rsidR="00283B06" w:rsidRPr="00604C24" w:rsidRDefault="00283B06" w:rsidP="00283B06">
      <w:pPr>
        <w:pStyle w:val="ListParagraph"/>
        <w:numPr>
          <w:ilvl w:val="1"/>
          <w:numId w:val="9"/>
        </w:numPr>
        <w:ind w:left="1776"/>
        <w:jc w:val="both"/>
        <w:rPr>
          <w:rFonts w:asciiTheme="majorHAnsi" w:hAnsiTheme="majorHAnsi" w:cstheme="minorHAnsi"/>
          <w:sz w:val="20"/>
          <w:lang w:val="en-GB"/>
        </w:rPr>
      </w:pPr>
      <w:r w:rsidRPr="00604C24">
        <w:rPr>
          <w:rFonts w:asciiTheme="majorHAnsi" w:hAnsiTheme="majorHAnsi" w:cstheme="minorHAnsi"/>
          <w:sz w:val="20"/>
          <w:lang w:val="en-GB"/>
        </w:rPr>
        <w:t xml:space="preserve">Integrating climate-related risk in financial system information through guidance, labelling schemes and mandatory requirements, </w:t>
      </w:r>
    </w:p>
    <w:p w14:paraId="1644BE65" w14:textId="77777777" w:rsidR="00283B06" w:rsidRPr="00604C24" w:rsidRDefault="00283B06" w:rsidP="00283B06">
      <w:pPr>
        <w:pStyle w:val="ListParagraph"/>
        <w:numPr>
          <w:ilvl w:val="1"/>
          <w:numId w:val="9"/>
        </w:numPr>
        <w:ind w:left="1776"/>
        <w:jc w:val="both"/>
        <w:rPr>
          <w:rFonts w:asciiTheme="majorHAnsi" w:hAnsiTheme="majorHAnsi" w:cstheme="minorHAnsi"/>
          <w:sz w:val="20"/>
          <w:lang w:val="en-GB"/>
        </w:rPr>
      </w:pPr>
      <w:r w:rsidRPr="00604C24">
        <w:rPr>
          <w:rFonts w:asciiTheme="majorHAnsi" w:hAnsiTheme="majorHAnsi" w:cstheme="minorHAnsi"/>
          <w:sz w:val="20"/>
          <w:lang w:val="en-GB"/>
        </w:rPr>
        <w:t>Strengthen climate-related risk management by integrating environmental factors into oversight, supervision and stress testing</w:t>
      </w:r>
      <w:r w:rsidRPr="00604C24">
        <w:rPr>
          <w:rStyle w:val="FootnoteReference"/>
          <w:rFonts w:asciiTheme="majorHAnsi" w:hAnsiTheme="majorHAnsi" w:cstheme="minorHAnsi"/>
          <w:sz w:val="20"/>
        </w:rPr>
        <w:footnoteReference w:id="24"/>
      </w:r>
      <w:r w:rsidRPr="00604C24">
        <w:rPr>
          <w:rFonts w:asciiTheme="majorHAnsi" w:hAnsiTheme="majorHAnsi" w:cstheme="minorHAnsi"/>
          <w:sz w:val="20"/>
          <w:lang w:val="en-GB"/>
        </w:rPr>
        <w:t xml:space="preserve">, </w:t>
      </w:r>
    </w:p>
    <w:p w14:paraId="6648ECE0" w14:textId="77777777" w:rsidR="00283B06" w:rsidRPr="00604C24" w:rsidRDefault="00283B06" w:rsidP="00283B06">
      <w:pPr>
        <w:pStyle w:val="ListParagraph"/>
        <w:numPr>
          <w:ilvl w:val="1"/>
          <w:numId w:val="9"/>
        </w:numPr>
        <w:ind w:left="1776"/>
        <w:jc w:val="both"/>
        <w:rPr>
          <w:rFonts w:asciiTheme="majorHAnsi" w:hAnsiTheme="majorHAnsi" w:cstheme="minorHAnsi"/>
          <w:sz w:val="20"/>
          <w:lang w:val="en-GB"/>
        </w:rPr>
      </w:pPr>
      <w:r w:rsidRPr="00604C24">
        <w:rPr>
          <w:rFonts w:asciiTheme="majorHAnsi" w:hAnsiTheme="majorHAnsi" w:cstheme="minorHAnsi"/>
          <w:sz w:val="20"/>
          <w:lang w:val="en-GB"/>
        </w:rPr>
        <w:t xml:space="preserve">Building capacity for and integrating financing for: 1) resilience-building into fiscal policy frameworks, 2) investments in physical resilience and 3) building fiscal buffers to respond to shocks, especially from natural disasters. This financing requires building capacity in fiscal and debt sustainability analyses to integrate: </w:t>
      </w:r>
    </w:p>
    <w:p w14:paraId="16B43275" w14:textId="77777777" w:rsidR="00283B06" w:rsidRPr="00604C24" w:rsidRDefault="00283B06" w:rsidP="00283B06">
      <w:pPr>
        <w:pStyle w:val="ListParagraph"/>
        <w:numPr>
          <w:ilvl w:val="2"/>
          <w:numId w:val="7"/>
        </w:numPr>
        <w:ind w:left="2430"/>
        <w:jc w:val="both"/>
        <w:rPr>
          <w:rFonts w:asciiTheme="majorHAnsi" w:hAnsiTheme="majorHAnsi" w:cstheme="minorHAnsi"/>
          <w:sz w:val="20"/>
          <w:lang w:val="en-GB"/>
        </w:rPr>
      </w:pPr>
      <w:r w:rsidRPr="00604C24">
        <w:rPr>
          <w:rFonts w:asciiTheme="majorHAnsi" w:hAnsiTheme="majorHAnsi" w:cstheme="minorHAnsi"/>
          <w:sz w:val="20"/>
          <w:lang w:val="en-GB"/>
        </w:rPr>
        <w:t xml:space="preserve">probabilistic assessments of the frequency and severity of climate-related natural disasters and slow-onset climate-related damages (accounting for how damages are diminished through climate-proofing investment); </w:t>
      </w:r>
    </w:p>
    <w:p w14:paraId="1A006742" w14:textId="77777777" w:rsidR="00283B06" w:rsidRPr="00604C24" w:rsidRDefault="00283B06" w:rsidP="00283B06">
      <w:pPr>
        <w:pStyle w:val="ListParagraph"/>
        <w:numPr>
          <w:ilvl w:val="2"/>
          <w:numId w:val="7"/>
        </w:numPr>
        <w:ind w:left="2430"/>
        <w:jc w:val="both"/>
        <w:rPr>
          <w:rFonts w:asciiTheme="majorHAnsi" w:hAnsiTheme="majorHAnsi" w:cstheme="minorHAnsi"/>
          <w:sz w:val="20"/>
          <w:lang w:val="en-GB"/>
        </w:rPr>
      </w:pPr>
      <w:r w:rsidRPr="00604C24">
        <w:rPr>
          <w:rFonts w:asciiTheme="majorHAnsi" w:hAnsiTheme="majorHAnsi" w:cstheme="minorHAnsi"/>
          <w:sz w:val="20"/>
          <w:lang w:val="en-GB"/>
        </w:rPr>
        <w:t xml:space="preserve">comprehensive financing strategies for ex ante fiscal buffers and ex post disaster expenditures; </w:t>
      </w:r>
    </w:p>
    <w:p w14:paraId="1C85FDA9" w14:textId="77777777" w:rsidR="00283B06" w:rsidRPr="00604C24" w:rsidRDefault="00283B06" w:rsidP="00283B06">
      <w:pPr>
        <w:pStyle w:val="ListParagraph"/>
        <w:numPr>
          <w:ilvl w:val="2"/>
          <w:numId w:val="7"/>
        </w:numPr>
        <w:ind w:left="2430"/>
        <w:jc w:val="both"/>
        <w:rPr>
          <w:rFonts w:asciiTheme="majorHAnsi" w:hAnsiTheme="majorHAnsi" w:cstheme="minorHAnsi"/>
          <w:sz w:val="20"/>
          <w:lang w:val="en-GB"/>
        </w:rPr>
      </w:pPr>
      <w:r w:rsidRPr="00604C24">
        <w:rPr>
          <w:rFonts w:asciiTheme="majorHAnsi" w:hAnsiTheme="majorHAnsi" w:cstheme="minorHAnsi"/>
          <w:sz w:val="20"/>
          <w:lang w:val="en-GB"/>
        </w:rPr>
        <w:t>national budget financing (required beyond external finance) of physical adaptation and mitigation investments</w:t>
      </w:r>
      <w:r w:rsidRPr="00604C24">
        <w:rPr>
          <w:rStyle w:val="FootnoteReference"/>
          <w:rFonts w:asciiTheme="majorHAnsi" w:hAnsiTheme="majorHAnsi" w:cstheme="minorHAnsi"/>
          <w:sz w:val="20"/>
        </w:rPr>
        <w:footnoteReference w:id="25"/>
      </w:r>
    </w:p>
    <w:p w14:paraId="5B60F617" w14:textId="77777777" w:rsidR="00283B06" w:rsidRPr="00281262" w:rsidRDefault="00283B06" w:rsidP="00283B06">
      <w:pPr>
        <w:pStyle w:val="ListParagraph"/>
        <w:numPr>
          <w:ilvl w:val="1"/>
          <w:numId w:val="9"/>
        </w:numPr>
        <w:ind w:left="426"/>
        <w:jc w:val="both"/>
        <w:rPr>
          <w:rFonts w:asciiTheme="majorHAnsi" w:hAnsiTheme="majorHAnsi" w:cstheme="minorHAnsi"/>
          <w:sz w:val="20"/>
          <w:lang w:val="en-GB"/>
        </w:rPr>
      </w:pPr>
      <w:r w:rsidRPr="00604C24">
        <w:rPr>
          <w:rFonts w:asciiTheme="majorHAnsi" w:hAnsiTheme="majorHAnsi" w:cstheme="minorHAnsi"/>
          <w:sz w:val="20"/>
          <w:lang w:val="en-GB"/>
        </w:rPr>
        <w:t>Mobilize private sources of climate finance by facilitating investments and the development of a financial sector which supports climate mitigation and adaptation</w:t>
      </w:r>
      <w:r w:rsidRPr="00604C24">
        <w:rPr>
          <w:rStyle w:val="FootnoteReference"/>
          <w:rFonts w:asciiTheme="majorHAnsi" w:hAnsiTheme="majorHAnsi" w:cstheme="minorHAnsi"/>
          <w:sz w:val="20"/>
        </w:rPr>
        <w:footnoteReference w:id="26"/>
      </w:r>
      <w:r w:rsidRPr="00604C24">
        <w:rPr>
          <w:rFonts w:asciiTheme="majorHAnsi" w:hAnsiTheme="majorHAnsi" w:cstheme="minorHAnsi"/>
          <w:sz w:val="20"/>
          <w:lang w:val="en-GB"/>
        </w:rPr>
        <w:t>, including through</w:t>
      </w:r>
      <w:r>
        <w:rPr>
          <w:rFonts w:asciiTheme="majorHAnsi" w:hAnsiTheme="majorHAnsi" w:cstheme="minorHAnsi"/>
          <w:sz w:val="20"/>
          <w:lang w:val="en-GB"/>
        </w:rPr>
        <w:t xml:space="preserve"> s</w:t>
      </w:r>
      <w:r w:rsidRPr="00281262">
        <w:rPr>
          <w:rFonts w:asciiTheme="majorHAnsi" w:hAnsiTheme="majorHAnsi" w:cstheme="minorHAnsi"/>
          <w:sz w:val="20"/>
          <w:lang w:val="en-GB"/>
        </w:rPr>
        <w:t>how</w:t>
      </w:r>
      <w:r>
        <w:rPr>
          <w:rFonts w:asciiTheme="majorHAnsi" w:hAnsiTheme="majorHAnsi" w:cstheme="minorHAnsi"/>
          <w:sz w:val="20"/>
          <w:lang w:val="en-GB"/>
        </w:rPr>
        <w:t>ing</w:t>
      </w:r>
      <w:r w:rsidRPr="00281262">
        <w:rPr>
          <w:rFonts w:asciiTheme="majorHAnsi" w:hAnsiTheme="majorHAnsi" w:cstheme="minorHAnsi"/>
          <w:sz w:val="20"/>
          <w:lang w:val="en-GB"/>
        </w:rPr>
        <w:t xml:space="preserve"> domestic leadership, stimulate innovation, policy reforms and greater capacity to better align fiscal incentives and pricing and help public and private investments flow</w:t>
      </w:r>
      <w:r w:rsidRPr="00604C24">
        <w:rPr>
          <w:rStyle w:val="FootnoteReference"/>
          <w:rFonts w:asciiTheme="majorHAnsi" w:hAnsiTheme="majorHAnsi" w:cstheme="minorHAnsi"/>
          <w:sz w:val="20"/>
        </w:rPr>
        <w:footnoteReference w:id="27"/>
      </w:r>
      <w:r w:rsidRPr="00281262">
        <w:rPr>
          <w:rFonts w:asciiTheme="majorHAnsi" w:hAnsiTheme="majorHAnsi" w:cstheme="minorHAnsi"/>
          <w:sz w:val="20"/>
          <w:lang w:val="en-GB"/>
        </w:rPr>
        <w:t>, including through gradually increasing current spending on research and development of low-emissions and resilient technologies throughout their life cycle</w:t>
      </w:r>
      <w:r>
        <w:rPr>
          <w:rFonts w:asciiTheme="majorHAnsi" w:hAnsiTheme="majorHAnsi" w:cstheme="minorHAnsi"/>
          <w:sz w:val="20"/>
          <w:lang w:val="en-GB"/>
        </w:rPr>
        <w:t>; as well as blended finance mechanisms to manage risk and promote private sector involvement.</w:t>
      </w:r>
    </w:p>
    <w:p w14:paraId="31CDA4F3" w14:textId="77777777" w:rsidR="00283B06" w:rsidRPr="00604C24" w:rsidRDefault="00283B06" w:rsidP="00283B06">
      <w:pPr>
        <w:pStyle w:val="ListParagraph"/>
        <w:numPr>
          <w:ilvl w:val="0"/>
          <w:numId w:val="6"/>
        </w:numPr>
        <w:jc w:val="both"/>
        <w:rPr>
          <w:rFonts w:asciiTheme="majorHAnsi" w:hAnsiTheme="majorHAnsi" w:cstheme="minorHAnsi"/>
          <w:sz w:val="20"/>
          <w:lang w:val="en-GB"/>
        </w:rPr>
      </w:pPr>
      <w:r w:rsidRPr="00604C24">
        <w:rPr>
          <w:rFonts w:asciiTheme="majorHAnsi" w:hAnsiTheme="majorHAnsi" w:cstheme="minorHAnsi"/>
          <w:sz w:val="20"/>
          <w:lang w:val="en-GB"/>
        </w:rPr>
        <w:t xml:space="preserve">Develop and enact coherent policies </w:t>
      </w:r>
      <w:r>
        <w:rPr>
          <w:rFonts w:asciiTheme="majorHAnsi" w:hAnsiTheme="majorHAnsi" w:cstheme="minorHAnsi"/>
          <w:sz w:val="20"/>
          <w:lang w:val="en-GB"/>
        </w:rPr>
        <w:t xml:space="preserve">and incentives </w:t>
      </w:r>
      <w:r w:rsidRPr="00604C24">
        <w:rPr>
          <w:rFonts w:asciiTheme="majorHAnsi" w:hAnsiTheme="majorHAnsi" w:cstheme="minorHAnsi"/>
          <w:sz w:val="20"/>
          <w:lang w:val="en-GB"/>
        </w:rPr>
        <w:t>across the economic, environmental, social, education, training and labour portfolios to provide an enabling environment for enterprises, workers, investors and consumers to embrace and drive a just transition towards environmentally sustainable and inclusive economies and societies while ensuring that public investments guarantee social development goals and promoting the creation of more decent jobs, including, as appropriate, anticipating impacts on employment, adequate and sustainable social protection for job losses and displacement, skills development and social dialogue</w:t>
      </w:r>
      <w:r w:rsidRPr="00604C24">
        <w:rPr>
          <w:rStyle w:val="FootnoteReference"/>
          <w:rFonts w:asciiTheme="majorHAnsi" w:hAnsiTheme="majorHAnsi" w:cstheme="minorHAnsi"/>
          <w:sz w:val="20"/>
        </w:rPr>
        <w:footnoteReference w:id="28"/>
      </w:r>
      <w:r w:rsidRPr="00604C24">
        <w:rPr>
          <w:rFonts w:asciiTheme="majorHAnsi" w:hAnsiTheme="majorHAnsi" w:cstheme="minorHAnsi"/>
          <w:sz w:val="20"/>
          <w:lang w:val="en-GB"/>
        </w:rPr>
        <w:t xml:space="preserve"> </w:t>
      </w:r>
    </w:p>
    <w:p w14:paraId="393DDAE4" w14:textId="77777777" w:rsidR="00283B06" w:rsidRPr="00604C24" w:rsidRDefault="00283B06" w:rsidP="00283B06">
      <w:pPr>
        <w:pStyle w:val="ListParagraph"/>
        <w:numPr>
          <w:ilvl w:val="0"/>
          <w:numId w:val="6"/>
        </w:numPr>
        <w:jc w:val="both"/>
        <w:rPr>
          <w:rFonts w:asciiTheme="majorHAnsi" w:hAnsiTheme="majorHAnsi" w:cstheme="minorHAnsi"/>
          <w:sz w:val="20"/>
          <w:lang w:val="en-GB"/>
        </w:rPr>
      </w:pPr>
      <w:r w:rsidRPr="00604C24">
        <w:rPr>
          <w:rFonts w:asciiTheme="majorHAnsi" w:hAnsiTheme="majorHAnsi" w:cstheme="minorHAnsi"/>
          <w:sz w:val="20"/>
          <w:lang w:val="en-GB"/>
        </w:rPr>
        <w:t>Assess the establishment of national just transition</w:t>
      </w:r>
      <w:r w:rsidRPr="00604C24">
        <w:rPr>
          <w:rStyle w:val="FootnoteReference"/>
          <w:rFonts w:asciiTheme="majorHAnsi" w:hAnsiTheme="majorHAnsi" w:cstheme="minorHAnsi"/>
          <w:sz w:val="20"/>
        </w:rPr>
        <w:footnoteReference w:id="29"/>
      </w:r>
      <w:r w:rsidRPr="00604C24">
        <w:rPr>
          <w:rFonts w:asciiTheme="majorHAnsi" w:hAnsiTheme="majorHAnsi" w:cstheme="minorHAnsi"/>
          <w:sz w:val="20"/>
          <w:lang w:val="en-GB"/>
        </w:rPr>
        <w:t xml:space="preserve"> funds to support activities to address climate action and related employment risks through the implementation of just transition plans for workers </w:t>
      </w:r>
      <w:r w:rsidRPr="00604C24">
        <w:rPr>
          <w:rFonts w:asciiTheme="majorHAnsi" w:hAnsiTheme="majorHAnsi" w:cstheme="minorHAnsi"/>
          <w:sz w:val="20"/>
          <w:lang w:val="en-GB"/>
        </w:rPr>
        <w:lastRenderedPageBreak/>
        <w:t>and vulnerable communities</w:t>
      </w:r>
      <w:r>
        <w:rPr>
          <w:rFonts w:asciiTheme="majorHAnsi" w:hAnsiTheme="majorHAnsi" w:cstheme="minorHAnsi"/>
          <w:sz w:val="20"/>
          <w:lang w:val="en-GB"/>
        </w:rPr>
        <w:t>, including indigenous peoples and local communities</w:t>
      </w:r>
      <w:r w:rsidRPr="00604C24">
        <w:rPr>
          <w:rFonts w:asciiTheme="majorHAnsi" w:hAnsiTheme="majorHAnsi" w:cstheme="minorHAnsi"/>
          <w:sz w:val="20"/>
          <w:lang w:val="en-GB"/>
        </w:rPr>
        <w:t>, regions and industry sectors, thus investing in vocational education and training, reskilling and retraining, extended or expanding social protections for workers and their families, and grant, loan and seed capital programs for diversifying community and regional economies</w:t>
      </w:r>
      <w:r w:rsidRPr="00604C24">
        <w:rPr>
          <w:rStyle w:val="FootnoteReference"/>
          <w:rFonts w:asciiTheme="majorHAnsi" w:hAnsiTheme="majorHAnsi" w:cstheme="minorHAnsi"/>
          <w:sz w:val="20"/>
        </w:rPr>
        <w:footnoteReference w:id="30"/>
      </w:r>
    </w:p>
    <w:p w14:paraId="150323CA" w14:textId="77777777" w:rsidR="00283B06" w:rsidRPr="00604C24" w:rsidRDefault="00283B06" w:rsidP="00283B06">
      <w:pPr>
        <w:pStyle w:val="ListParagraph"/>
        <w:numPr>
          <w:ilvl w:val="0"/>
          <w:numId w:val="6"/>
        </w:numPr>
        <w:jc w:val="both"/>
        <w:rPr>
          <w:rFonts w:asciiTheme="majorHAnsi" w:hAnsiTheme="majorHAnsi" w:cstheme="minorHAnsi"/>
          <w:sz w:val="20"/>
          <w:lang w:val="en-GB"/>
        </w:rPr>
      </w:pPr>
      <w:r w:rsidRPr="00604C24">
        <w:rPr>
          <w:rFonts w:asciiTheme="majorHAnsi" w:hAnsiTheme="majorHAnsi" w:cstheme="minorHAnsi"/>
          <w:sz w:val="20"/>
          <w:lang w:val="en-GB"/>
        </w:rPr>
        <w:t xml:space="preserve">As for </w:t>
      </w:r>
      <w:r>
        <w:rPr>
          <w:rFonts w:asciiTheme="majorHAnsi" w:hAnsiTheme="majorHAnsi" w:cstheme="minorHAnsi"/>
          <w:sz w:val="20"/>
          <w:lang w:val="en-GB"/>
        </w:rPr>
        <w:t xml:space="preserve">subnational, </w:t>
      </w:r>
      <w:r w:rsidRPr="00604C24">
        <w:rPr>
          <w:rFonts w:asciiTheme="majorHAnsi" w:hAnsiTheme="majorHAnsi" w:cstheme="minorHAnsi"/>
          <w:sz w:val="20"/>
          <w:lang w:val="en-GB"/>
        </w:rPr>
        <w:t>city and local governments, it is recommended to:</w:t>
      </w:r>
    </w:p>
    <w:p w14:paraId="3480B062" w14:textId="77777777" w:rsidR="00283B06" w:rsidRPr="00604C24" w:rsidRDefault="00283B06" w:rsidP="00283B06">
      <w:pPr>
        <w:pStyle w:val="ListParagraph"/>
        <w:numPr>
          <w:ilvl w:val="0"/>
          <w:numId w:val="8"/>
        </w:numPr>
        <w:jc w:val="both"/>
        <w:rPr>
          <w:rFonts w:asciiTheme="majorHAnsi" w:hAnsiTheme="majorHAnsi" w:cstheme="minorHAnsi"/>
          <w:sz w:val="20"/>
          <w:lang w:val="en-GB"/>
        </w:rPr>
      </w:pPr>
      <w:r w:rsidRPr="00604C24">
        <w:rPr>
          <w:rFonts w:asciiTheme="majorHAnsi" w:hAnsiTheme="majorHAnsi" w:cstheme="minorHAnsi"/>
          <w:sz w:val="20"/>
          <w:lang w:val="en-GB"/>
        </w:rPr>
        <w:t xml:space="preserve">rethink land use and transport strategies and seize the development benefits of low-emission, resilient planning, </w:t>
      </w:r>
    </w:p>
    <w:p w14:paraId="47FB7BB0" w14:textId="77777777" w:rsidR="00283B06" w:rsidRPr="00604C24" w:rsidRDefault="00283B06" w:rsidP="00283B06">
      <w:pPr>
        <w:pStyle w:val="ListParagraph"/>
        <w:numPr>
          <w:ilvl w:val="0"/>
          <w:numId w:val="8"/>
        </w:numPr>
        <w:jc w:val="both"/>
        <w:rPr>
          <w:rFonts w:asciiTheme="majorHAnsi" w:hAnsiTheme="majorHAnsi" w:cstheme="minorHAnsi"/>
          <w:sz w:val="20"/>
          <w:lang w:val="en-GB"/>
        </w:rPr>
      </w:pPr>
      <w:r w:rsidRPr="00604C24">
        <w:rPr>
          <w:rFonts w:asciiTheme="majorHAnsi" w:hAnsiTheme="majorHAnsi" w:cstheme="minorHAnsi"/>
          <w:sz w:val="20"/>
          <w:lang w:val="en-GB"/>
        </w:rPr>
        <w:t>develop capacity to more effectively plan and finance right infrastructure (e.g. clean public transport and greater vehicle efficiency, city cycling infrastructure, energy efficiency for new and existing buildings including sustainable cooling or others in accordance with local realities),</w:t>
      </w:r>
    </w:p>
    <w:p w14:paraId="15C4F1D9" w14:textId="77777777" w:rsidR="00283B06" w:rsidRPr="00604C24" w:rsidRDefault="00283B06" w:rsidP="00283B06">
      <w:pPr>
        <w:pStyle w:val="ListParagraph"/>
        <w:numPr>
          <w:ilvl w:val="0"/>
          <w:numId w:val="8"/>
        </w:numPr>
        <w:jc w:val="both"/>
        <w:rPr>
          <w:rFonts w:asciiTheme="majorHAnsi" w:hAnsiTheme="majorHAnsi" w:cstheme="minorHAnsi"/>
          <w:sz w:val="20"/>
          <w:lang w:val="en-GB"/>
        </w:rPr>
      </w:pPr>
      <w:r w:rsidRPr="00604C24">
        <w:rPr>
          <w:rFonts w:asciiTheme="majorHAnsi" w:hAnsiTheme="majorHAnsi" w:cstheme="minorHAnsi"/>
          <w:sz w:val="20"/>
          <w:lang w:val="en-GB"/>
        </w:rPr>
        <w:t>align national and local fiscal regulations to encourage and enable low-emissions, resilient investment and behaviours</w:t>
      </w:r>
    </w:p>
    <w:p w14:paraId="3F7EBC51" w14:textId="77777777" w:rsidR="00283B06" w:rsidRPr="00604C24" w:rsidRDefault="00283B06" w:rsidP="00283B06">
      <w:pPr>
        <w:pStyle w:val="ListParagraph"/>
        <w:numPr>
          <w:ilvl w:val="0"/>
          <w:numId w:val="8"/>
        </w:numPr>
        <w:jc w:val="both"/>
        <w:rPr>
          <w:rFonts w:asciiTheme="majorHAnsi" w:hAnsiTheme="majorHAnsi" w:cstheme="minorHAnsi"/>
          <w:sz w:val="20"/>
          <w:lang w:val="en-GB"/>
        </w:rPr>
      </w:pPr>
      <w:r w:rsidRPr="00604C24">
        <w:rPr>
          <w:rFonts w:asciiTheme="majorHAnsi" w:hAnsiTheme="majorHAnsi" w:cstheme="minorHAnsi"/>
          <w:sz w:val="20"/>
          <w:lang w:val="en-GB"/>
        </w:rPr>
        <w:t>build climate-related and project analysis and financing capacity at the city and local level</w:t>
      </w:r>
    </w:p>
    <w:p w14:paraId="57F82805" w14:textId="13514C63" w:rsidR="00283B06" w:rsidRPr="00BC4F3A" w:rsidRDefault="00283B06" w:rsidP="00283B06">
      <w:pPr>
        <w:pStyle w:val="ListParagraph"/>
        <w:numPr>
          <w:ilvl w:val="0"/>
          <w:numId w:val="8"/>
        </w:numPr>
        <w:jc w:val="both"/>
        <w:rPr>
          <w:rFonts w:asciiTheme="majorHAnsi" w:hAnsiTheme="majorHAnsi" w:cstheme="minorHAnsi"/>
          <w:sz w:val="20"/>
          <w:lang w:val="en-GB"/>
        </w:rPr>
      </w:pPr>
      <w:r w:rsidRPr="00604C24">
        <w:rPr>
          <w:rFonts w:asciiTheme="majorHAnsi" w:hAnsiTheme="majorHAnsi" w:cstheme="minorHAnsi"/>
          <w:sz w:val="20"/>
          <w:lang w:val="en-GB"/>
        </w:rPr>
        <w:t>use of innovative instruments such as green bonds</w:t>
      </w:r>
      <w:r w:rsidRPr="00604C24">
        <w:rPr>
          <w:rStyle w:val="FootnoteReference"/>
          <w:rFonts w:asciiTheme="majorHAnsi" w:hAnsiTheme="majorHAnsi" w:cstheme="minorHAnsi"/>
          <w:sz w:val="20"/>
        </w:rPr>
        <w:footnoteReference w:id="31"/>
      </w:r>
    </w:p>
    <w:p w14:paraId="662435E2" w14:textId="77777777" w:rsidR="00283B06" w:rsidRPr="00404664" w:rsidRDefault="00283B06" w:rsidP="00283B06">
      <w:pPr>
        <w:jc w:val="both"/>
        <w:rPr>
          <w:rFonts w:asciiTheme="majorHAnsi" w:hAnsiTheme="majorHAnsi" w:cstheme="minorHAnsi"/>
          <w:b/>
          <w:sz w:val="20"/>
          <w:lang w:val="en-GB"/>
        </w:rPr>
      </w:pPr>
      <w:r w:rsidRPr="00404664">
        <w:rPr>
          <w:rFonts w:asciiTheme="majorHAnsi" w:hAnsiTheme="majorHAnsi" w:cstheme="minorHAnsi"/>
          <w:b/>
          <w:sz w:val="20"/>
          <w:lang w:val="en-GB"/>
        </w:rPr>
        <w:t>Development finance institutions</w:t>
      </w:r>
    </w:p>
    <w:p w14:paraId="163418CA" w14:textId="77777777" w:rsidR="00283B06" w:rsidRPr="00604C24" w:rsidRDefault="00283B06" w:rsidP="00283B06">
      <w:pPr>
        <w:pStyle w:val="ListParagraph"/>
        <w:numPr>
          <w:ilvl w:val="0"/>
          <w:numId w:val="2"/>
        </w:numPr>
        <w:jc w:val="both"/>
        <w:rPr>
          <w:rFonts w:asciiTheme="majorHAnsi" w:hAnsiTheme="majorHAnsi" w:cstheme="minorHAnsi"/>
          <w:sz w:val="20"/>
          <w:lang w:val="en-GB"/>
        </w:rPr>
      </w:pPr>
      <w:r w:rsidRPr="00604C24">
        <w:rPr>
          <w:rFonts w:asciiTheme="majorHAnsi" w:hAnsiTheme="majorHAnsi" w:cstheme="minorHAnsi"/>
          <w:sz w:val="20"/>
          <w:lang w:val="en-GB"/>
        </w:rPr>
        <w:t>Strengthen mandates and incentives to deliver transformative and scaled-up climate action including by striving to make their activities consistent with low-emissions, resilient development and reducing or phasing out investments in emissions-intensive technologies</w:t>
      </w:r>
      <w:r w:rsidRPr="00604C24">
        <w:rPr>
          <w:rStyle w:val="FootnoteReference"/>
          <w:rFonts w:asciiTheme="majorHAnsi" w:hAnsiTheme="majorHAnsi" w:cstheme="minorHAnsi"/>
          <w:sz w:val="20"/>
        </w:rPr>
        <w:footnoteReference w:id="32"/>
      </w:r>
      <w:r w:rsidRPr="00604C24">
        <w:rPr>
          <w:rFonts w:asciiTheme="majorHAnsi" w:hAnsiTheme="majorHAnsi" w:cstheme="minorHAnsi"/>
          <w:sz w:val="20"/>
          <w:lang w:val="en-GB"/>
        </w:rPr>
        <w:t xml:space="preserve"> </w:t>
      </w:r>
      <w:r>
        <w:rPr>
          <w:rFonts w:asciiTheme="majorHAnsi" w:hAnsiTheme="majorHAnsi" w:cstheme="minorHAnsi"/>
          <w:sz w:val="20"/>
          <w:lang w:val="en-GB"/>
        </w:rPr>
        <w:t xml:space="preserve">and </w:t>
      </w:r>
      <w:r w:rsidRPr="00FA2322">
        <w:rPr>
          <w:rFonts w:asciiTheme="majorHAnsi" w:hAnsiTheme="majorHAnsi" w:cstheme="minorHAnsi"/>
          <w:sz w:val="20"/>
          <w:lang w:val="en-US"/>
        </w:rPr>
        <w:t>maladaptive activities</w:t>
      </w:r>
    </w:p>
    <w:p w14:paraId="67A7B042" w14:textId="77777777" w:rsidR="00283B06" w:rsidRPr="00604C24" w:rsidRDefault="00283B06" w:rsidP="00283B06">
      <w:pPr>
        <w:pStyle w:val="ListParagraph"/>
        <w:numPr>
          <w:ilvl w:val="0"/>
          <w:numId w:val="2"/>
        </w:numPr>
        <w:jc w:val="both"/>
        <w:rPr>
          <w:rFonts w:asciiTheme="majorHAnsi" w:hAnsiTheme="majorHAnsi" w:cstheme="minorHAnsi"/>
          <w:sz w:val="20"/>
          <w:lang w:val="en-GB"/>
        </w:rPr>
      </w:pPr>
      <w:r w:rsidRPr="00604C24">
        <w:rPr>
          <w:rFonts w:asciiTheme="majorHAnsi" w:hAnsiTheme="majorHAnsi" w:cstheme="minorHAnsi"/>
          <w:sz w:val="20"/>
          <w:lang w:val="en-GB"/>
        </w:rPr>
        <w:t>Adopt core definitions and mechanisms to ensure Paris alignment at the system level</w:t>
      </w:r>
      <w:r w:rsidRPr="00604C24">
        <w:rPr>
          <w:rStyle w:val="FootnoteReference"/>
          <w:rFonts w:asciiTheme="majorHAnsi" w:hAnsiTheme="majorHAnsi" w:cstheme="minorHAnsi"/>
          <w:sz w:val="20"/>
        </w:rPr>
        <w:footnoteReference w:id="33"/>
      </w:r>
    </w:p>
    <w:p w14:paraId="2721BAA1" w14:textId="77777777" w:rsidR="00283B06" w:rsidRPr="00604C24" w:rsidRDefault="00283B06" w:rsidP="00283B06">
      <w:pPr>
        <w:pStyle w:val="ListParagraph"/>
        <w:numPr>
          <w:ilvl w:val="0"/>
          <w:numId w:val="2"/>
        </w:numPr>
        <w:jc w:val="both"/>
        <w:rPr>
          <w:rFonts w:asciiTheme="majorHAnsi" w:hAnsiTheme="majorHAnsi" w:cstheme="minorHAnsi"/>
          <w:sz w:val="20"/>
          <w:lang w:val="en-GB"/>
        </w:rPr>
      </w:pPr>
      <w:r w:rsidRPr="00604C24">
        <w:rPr>
          <w:rFonts w:asciiTheme="majorHAnsi" w:hAnsiTheme="majorHAnsi" w:cstheme="minorHAnsi"/>
          <w:sz w:val="20"/>
          <w:lang w:val="en-GB"/>
        </w:rPr>
        <w:t>Foster to adopt a shadow carbon price to acknowledge the potential carbon cost including in credit assessments as a means to promote among companies, institutions and other stakeholders the benefits of a low-carbon transition and shift more resources towards sustainable projects</w:t>
      </w:r>
      <w:r w:rsidRPr="00604C24">
        <w:rPr>
          <w:rStyle w:val="FootnoteReference"/>
          <w:rFonts w:asciiTheme="majorHAnsi" w:hAnsiTheme="majorHAnsi" w:cstheme="minorHAnsi"/>
          <w:sz w:val="20"/>
        </w:rPr>
        <w:footnoteReference w:id="34"/>
      </w:r>
    </w:p>
    <w:p w14:paraId="5401867B" w14:textId="7EC4F065" w:rsidR="00283B06" w:rsidRDefault="00283B06" w:rsidP="00283B06">
      <w:pPr>
        <w:pStyle w:val="ListParagraph"/>
        <w:numPr>
          <w:ilvl w:val="0"/>
          <w:numId w:val="2"/>
        </w:numPr>
        <w:jc w:val="both"/>
        <w:rPr>
          <w:rFonts w:asciiTheme="majorHAnsi" w:hAnsiTheme="majorHAnsi" w:cstheme="minorHAnsi"/>
          <w:sz w:val="20"/>
          <w:lang w:val="en-GB"/>
        </w:rPr>
      </w:pPr>
      <w:r w:rsidRPr="00604C24">
        <w:rPr>
          <w:rFonts w:asciiTheme="majorHAnsi" w:hAnsiTheme="majorHAnsi" w:cstheme="minorHAnsi"/>
          <w:sz w:val="20"/>
          <w:lang w:val="en-GB"/>
        </w:rPr>
        <w:t>Develop and implement instruments that attract private actors (i.e. guarantees, capital and loans in domestic currency</w:t>
      </w:r>
      <w:r>
        <w:rPr>
          <w:rFonts w:asciiTheme="majorHAnsi" w:hAnsiTheme="majorHAnsi" w:cstheme="minorHAnsi"/>
          <w:sz w:val="20"/>
          <w:lang w:val="en-GB"/>
        </w:rPr>
        <w:t>, debt swaps</w:t>
      </w:r>
      <w:r w:rsidRPr="00604C24">
        <w:rPr>
          <w:rFonts w:asciiTheme="majorHAnsi" w:hAnsiTheme="majorHAnsi" w:cstheme="minorHAnsi"/>
          <w:sz w:val="20"/>
          <w:lang w:val="en-GB"/>
        </w:rPr>
        <w:t>), new investors and sources of funding and use concessional financing strategically to deliver transformative climate action and build enabling environments and climate markets</w:t>
      </w:r>
      <w:r w:rsidRPr="00604C24">
        <w:rPr>
          <w:rStyle w:val="FootnoteReference"/>
          <w:rFonts w:asciiTheme="majorHAnsi" w:hAnsiTheme="majorHAnsi" w:cstheme="minorHAnsi"/>
          <w:sz w:val="20"/>
        </w:rPr>
        <w:footnoteReference w:id="35"/>
      </w:r>
      <w:r w:rsidRPr="00604C24">
        <w:rPr>
          <w:rFonts w:asciiTheme="majorHAnsi" w:hAnsiTheme="majorHAnsi" w:cstheme="minorHAnsi"/>
          <w:sz w:val="20"/>
          <w:lang w:val="en-GB"/>
        </w:rPr>
        <w:t xml:space="preserve"> including by working with governments to develop enabling policies and regulations, environments and markets (strengthening local capital markets to attract working capital and lower the cost of doing business through a greater focus on mobilisation of commercial and private financing</w:t>
      </w:r>
      <w:r w:rsidRPr="00604C24">
        <w:rPr>
          <w:rStyle w:val="FootnoteReference"/>
          <w:rFonts w:asciiTheme="majorHAnsi" w:hAnsiTheme="majorHAnsi" w:cstheme="minorHAnsi"/>
          <w:sz w:val="20"/>
        </w:rPr>
        <w:footnoteReference w:id="36"/>
      </w:r>
      <w:r w:rsidRPr="00604C24">
        <w:rPr>
          <w:rFonts w:asciiTheme="majorHAnsi" w:hAnsiTheme="majorHAnsi" w:cstheme="minorHAnsi"/>
          <w:sz w:val="20"/>
          <w:lang w:val="en-GB"/>
        </w:rPr>
        <w:t>) to scale up commercial investment, optimising the risks that development banks carry, and using concessional finance –through blended finance, for example- in cases where investments are critical to achieve climate goals, but cannot be viably financed through non-concessional windows</w:t>
      </w:r>
      <w:r w:rsidRPr="00604C24">
        <w:rPr>
          <w:rStyle w:val="FootnoteReference"/>
          <w:rFonts w:asciiTheme="majorHAnsi" w:hAnsiTheme="majorHAnsi" w:cstheme="minorHAnsi"/>
          <w:sz w:val="20"/>
        </w:rPr>
        <w:footnoteReference w:id="37"/>
      </w:r>
      <w:r w:rsidRPr="00604C24">
        <w:rPr>
          <w:rFonts w:asciiTheme="majorHAnsi" w:hAnsiTheme="majorHAnsi" w:cstheme="minorHAnsi"/>
          <w:sz w:val="20"/>
          <w:lang w:val="en-GB"/>
        </w:rPr>
        <w:t>, either by commercial banks or other financial institutions, including aimed at local or regional governments.</w:t>
      </w:r>
    </w:p>
    <w:p w14:paraId="2CDD7B5B" w14:textId="48CAF858" w:rsidR="00283B06" w:rsidRPr="00BC4F3A" w:rsidRDefault="00283B06" w:rsidP="00BC4F3A">
      <w:pPr>
        <w:pStyle w:val="ListParagraph"/>
        <w:numPr>
          <w:ilvl w:val="0"/>
          <w:numId w:val="2"/>
        </w:numPr>
        <w:jc w:val="both"/>
        <w:rPr>
          <w:rFonts w:asciiTheme="majorHAnsi" w:hAnsiTheme="majorHAnsi" w:cstheme="minorHAnsi"/>
          <w:sz w:val="20"/>
          <w:lang w:val="en-GB"/>
        </w:rPr>
      </w:pPr>
      <w:r>
        <w:rPr>
          <w:rFonts w:asciiTheme="majorHAnsi" w:hAnsiTheme="majorHAnsi" w:cstheme="minorHAnsi"/>
          <w:sz w:val="20"/>
          <w:lang w:val="en-GB"/>
        </w:rPr>
        <w:t>Increase the availability of grants and concessional instruments to developing countries governments</w:t>
      </w:r>
    </w:p>
    <w:p w14:paraId="16F65EB1" w14:textId="77777777" w:rsidR="004D17F8" w:rsidRDefault="004D17F8" w:rsidP="00283B06">
      <w:pPr>
        <w:jc w:val="both"/>
        <w:rPr>
          <w:rFonts w:asciiTheme="majorHAnsi" w:hAnsiTheme="majorHAnsi" w:cstheme="minorHAnsi"/>
          <w:b/>
          <w:sz w:val="20"/>
          <w:lang w:val="en-GB"/>
        </w:rPr>
      </w:pPr>
    </w:p>
    <w:p w14:paraId="47D2296D" w14:textId="2845C07E" w:rsidR="00283B06" w:rsidRPr="00404664" w:rsidRDefault="00283B06" w:rsidP="00283B06">
      <w:pPr>
        <w:jc w:val="both"/>
        <w:rPr>
          <w:rFonts w:asciiTheme="majorHAnsi" w:hAnsiTheme="majorHAnsi" w:cstheme="minorHAnsi"/>
          <w:b/>
          <w:sz w:val="20"/>
          <w:lang w:val="en-GB"/>
        </w:rPr>
      </w:pPr>
      <w:r w:rsidRPr="00404664">
        <w:rPr>
          <w:rFonts w:asciiTheme="majorHAnsi" w:hAnsiTheme="majorHAnsi" w:cstheme="minorHAnsi"/>
          <w:b/>
          <w:sz w:val="20"/>
          <w:lang w:val="en-GB"/>
        </w:rPr>
        <w:lastRenderedPageBreak/>
        <w:t>Commercial financial institutions</w:t>
      </w:r>
    </w:p>
    <w:p w14:paraId="648C0C7E" w14:textId="64474135" w:rsidR="00283B06" w:rsidRPr="00604C24" w:rsidRDefault="00283B06" w:rsidP="00283B06">
      <w:pPr>
        <w:pStyle w:val="ListParagraph"/>
        <w:numPr>
          <w:ilvl w:val="0"/>
          <w:numId w:val="3"/>
        </w:numPr>
        <w:jc w:val="both"/>
        <w:rPr>
          <w:rFonts w:asciiTheme="majorHAnsi" w:hAnsiTheme="majorHAnsi" w:cstheme="minorHAnsi"/>
          <w:sz w:val="20"/>
          <w:lang w:val="en-GB"/>
        </w:rPr>
      </w:pPr>
      <w:r w:rsidRPr="00604C24">
        <w:rPr>
          <w:rFonts w:asciiTheme="majorHAnsi" w:hAnsiTheme="majorHAnsi" w:cstheme="minorHAnsi"/>
          <w:sz w:val="20"/>
          <w:lang w:val="en-GB"/>
        </w:rPr>
        <w:t>Mainstream climate considerations including through:</w:t>
      </w:r>
    </w:p>
    <w:p w14:paraId="6BC82C11" w14:textId="77777777" w:rsidR="00283B06" w:rsidRPr="00604C24" w:rsidRDefault="00283B06" w:rsidP="00283B06">
      <w:pPr>
        <w:pStyle w:val="ListParagraph"/>
        <w:numPr>
          <w:ilvl w:val="1"/>
          <w:numId w:val="3"/>
        </w:numPr>
        <w:jc w:val="both"/>
        <w:rPr>
          <w:rFonts w:asciiTheme="majorHAnsi" w:hAnsiTheme="majorHAnsi" w:cstheme="minorHAnsi"/>
          <w:sz w:val="20"/>
          <w:lang w:val="en-GB"/>
        </w:rPr>
      </w:pPr>
      <w:r w:rsidRPr="00604C24">
        <w:rPr>
          <w:rFonts w:asciiTheme="majorHAnsi" w:hAnsiTheme="majorHAnsi" w:cstheme="minorHAnsi"/>
          <w:sz w:val="20"/>
          <w:lang w:val="en-GB"/>
        </w:rPr>
        <w:t>Building out climate scenario models to support financial risk analysis</w:t>
      </w:r>
    </w:p>
    <w:p w14:paraId="794F7066" w14:textId="77777777" w:rsidR="00283B06" w:rsidRPr="00604C24" w:rsidRDefault="00283B06" w:rsidP="00283B06">
      <w:pPr>
        <w:pStyle w:val="ListParagraph"/>
        <w:numPr>
          <w:ilvl w:val="1"/>
          <w:numId w:val="3"/>
        </w:numPr>
        <w:jc w:val="both"/>
        <w:rPr>
          <w:rFonts w:asciiTheme="majorHAnsi" w:hAnsiTheme="majorHAnsi" w:cstheme="minorHAnsi"/>
          <w:sz w:val="20"/>
          <w:lang w:val="en-GB"/>
        </w:rPr>
      </w:pPr>
      <w:r w:rsidRPr="00604C24">
        <w:rPr>
          <w:rFonts w:asciiTheme="majorHAnsi" w:hAnsiTheme="majorHAnsi" w:cstheme="minorHAnsi"/>
          <w:sz w:val="20"/>
          <w:lang w:val="en-GB"/>
        </w:rPr>
        <w:t>Developing data and analytics for borrower level climate risk analysis</w:t>
      </w:r>
    </w:p>
    <w:p w14:paraId="7797EC5E" w14:textId="77777777" w:rsidR="00283B06" w:rsidRPr="00604C24" w:rsidRDefault="00283B06" w:rsidP="00283B06">
      <w:pPr>
        <w:pStyle w:val="ListParagraph"/>
        <w:numPr>
          <w:ilvl w:val="1"/>
          <w:numId w:val="3"/>
        </w:numPr>
        <w:jc w:val="both"/>
        <w:rPr>
          <w:rFonts w:asciiTheme="majorHAnsi" w:hAnsiTheme="majorHAnsi" w:cstheme="minorHAnsi"/>
          <w:sz w:val="20"/>
          <w:lang w:val="en-GB"/>
        </w:rPr>
      </w:pPr>
      <w:r w:rsidRPr="00604C24">
        <w:rPr>
          <w:rFonts w:asciiTheme="majorHAnsi" w:hAnsiTheme="majorHAnsi" w:cstheme="minorHAnsi"/>
          <w:sz w:val="20"/>
          <w:lang w:val="en-GB"/>
        </w:rPr>
        <w:t>Methodological enhancements to the portfolio of impact assessment</w:t>
      </w:r>
    </w:p>
    <w:p w14:paraId="1A53C0F8" w14:textId="77777777" w:rsidR="00283B06" w:rsidRPr="00604C24" w:rsidRDefault="00283B06" w:rsidP="00283B06">
      <w:pPr>
        <w:pStyle w:val="ListParagraph"/>
        <w:numPr>
          <w:ilvl w:val="1"/>
          <w:numId w:val="3"/>
        </w:numPr>
        <w:jc w:val="both"/>
        <w:rPr>
          <w:rFonts w:asciiTheme="majorHAnsi" w:hAnsiTheme="majorHAnsi" w:cstheme="minorHAnsi"/>
          <w:sz w:val="20"/>
          <w:lang w:val="en-GB"/>
        </w:rPr>
      </w:pPr>
      <w:r w:rsidRPr="00604C24">
        <w:rPr>
          <w:rFonts w:asciiTheme="majorHAnsi" w:hAnsiTheme="majorHAnsi" w:cstheme="minorHAnsi"/>
          <w:sz w:val="20"/>
          <w:lang w:val="en-GB"/>
        </w:rPr>
        <w:t>Integration of transition risk assessment in each organisation</w:t>
      </w:r>
      <w:r w:rsidRPr="00604C24">
        <w:rPr>
          <w:rStyle w:val="FootnoteReference"/>
          <w:rFonts w:asciiTheme="majorHAnsi" w:hAnsiTheme="majorHAnsi" w:cstheme="minorHAnsi"/>
          <w:sz w:val="20"/>
        </w:rPr>
        <w:footnoteReference w:id="38"/>
      </w:r>
    </w:p>
    <w:p w14:paraId="274A10C7" w14:textId="1C9D8B76" w:rsidR="00283B06" w:rsidRPr="00BC4F3A" w:rsidRDefault="00283B06" w:rsidP="00BC4F3A">
      <w:pPr>
        <w:pStyle w:val="ListParagraph"/>
        <w:numPr>
          <w:ilvl w:val="0"/>
          <w:numId w:val="3"/>
        </w:numPr>
        <w:jc w:val="both"/>
        <w:rPr>
          <w:rFonts w:asciiTheme="majorHAnsi" w:hAnsiTheme="majorHAnsi" w:cstheme="minorHAnsi"/>
          <w:sz w:val="20"/>
          <w:lang w:val="en-GB"/>
        </w:rPr>
      </w:pPr>
      <w:r w:rsidRPr="00604C24">
        <w:rPr>
          <w:rFonts w:asciiTheme="majorHAnsi" w:hAnsiTheme="majorHAnsi" w:cstheme="minorHAnsi"/>
          <w:sz w:val="20"/>
          <w:lang w:val="en-GB"/>
        </w:rPr>
        <w:t xml:space="preserve">Foster products and services that have a lower emissions profile or contribute to GHG reductions </w:t>
      </w:r>
      <w:r>
        <w:rPr>
          <w:rFonts w:asciiTheme="majorHAnsi" w:hAnsiTheme="majorHAnsi" w:cstheme="minorHAnsi"/>
          <w:sz w:val="20"/>
          <w:lang w:val="en-GB"/>
        </w:rPr>
        <w:t>and adaptation/climate related risk reduction,</w:t>
      </w:r>
      <w:r w:rsidRPr="00604C24">
        <w:rPr>
          <w:rFonts w:asciiTheme="majorHAnsi" w:hAnsiTheme="majorHAnsi" w:cstheme="minorHAnsi"/>
          <w:sz w:val="20"/>
          <w:lang w:val="en-GB"/>
        </w:rPr>
        <w:t xml:space="preserve"> and are more competitive, increasing financing demand. Such opportunities for commercial banks to better serve clients include investment in energy efficiency technologies, new energy generation and production sources, low-emissions products and services, low-carbon infrastructure. Banks can therefore position themselves to meet the growing demand for low-carbon corporate lending in such segments and help clients from more carbon-intensive industries adapt to the new environment</w:t>
      </w:r>
      <w:r w:rsidRPr="00604C24">
        <w:rPr>
          <w:rStyle w:val="FootnoteReference"/>
          <w:rFonts w:asciiTheme="majorHAnsi" w:hAnsiTheme="majorHAnsi" w:cstheme="minorHAnsi"/>
          <w:sz w:val="20"/>
        </w:rPr>
        <w:footnoteReference w:id="39"/>
      </w:r>
      <w:r w:rsidRPr="00604C24">
        <w:rPr>
          <w:rFonts w:asciiTheme="majorHAnsi" w:hAnsiTheme="majorHAnsi" w:cstheme="minorHAnsi"/>
          <w:sz w:val="20"/>
          <w:lang w:val="en-GB"/>
        </w:rPr>
        <w:t>.</w:t>
      </w:r>
    </w:p>
    <w:p w14:paraId="5F726235" w14:textId="77777777" w:rsidR="00283B06" w:rsidRPr="00404664" w:rsidRDefault="00283B06" w:rsidP="00283B06">
      <w:pPr>
        <w:jc w:val="both"/>
        <w:rPr>
          <w:rFonts w:asciiTheme="majorHAnsi" w:hAnsiTheme="majorHAnsi" w:cstheme="minorHAnsi"/>
          <w:b/>
          <w:sz w:val="20"/>
          <w:lang w:val="en-GB"/>
        </w:rPr>
      </w:pPr>
      <w:r w:rsidRPr="00404664">
        <w:rPr>
          <w:rFonts w:asciiTheme="majorHAnsi" w:hAnsiTheme="majorHAnsi" w:cstheme="minorHAnsi"/>
          <w:b/>
          <w:sz w:val="20"/>
          <w:lang w:val="en-GB"/>
        </w:rPr>
        <w:t>Institutional investors</w:t>
      </w:r>
    </w:p>
    <w:p w14:paraId="422E62C5" w14:textId="77777777" w:rsidR="00283B06" w:rsidRPr="00604C24" w:rsidRDefault="00283B06" w:rsidP="00283B06">
      <w:pPr>
        <w:pStyle w:val="ListParagraph"/>
        <w:numPr>
          <w:ilvl w:val="0"/>
          <w:numId w:val="4"/>
        </w:numPr>
        <w:jc w:val="both"/>
        <w:rPr>
          <w:rFonts w:asciiTheme="majorHAnsi" w:hAnsiTheme="majorHAnsi" w:cstheme="minorHAnsi"/>
          <w:sz w:val="20"/>
          <w:lang w:val="en-GB"/>
        </w:rPr>
      </w:pPr>
      <w:r w:rsidRPr="00604C24">
        <w:rPr>
          <w:rFonts w:asciiTheme="majorHAnsi" w:hAnsiTheme="majorHAnsi" w:cstheme="minorHAnsi"/>
          <w:sz w:val="20"/>
          <w:lang w:val="en-GB"/>
        </w:rPr>
        <w:t>Integrate environmental, social and governance factors throughout operations and embed climate into economic and financial priorities</w:t>
      </w:r>
    </w:p>
    <w:p w14:paraId="088FFF67" w14:textId="77777777" w:rsidR="00283B06" w:rsidRPr="00604C24" w:rsidRDefault="00283B06" w:rsidP="00283B06">
      <w:pPr>
        <w:pStyle w:val="ListParagraph"/>
        <w:numPr>
          <w:ilvl w:val="0"/>
          <w:numId w:val="4"/>
        </w:numPr>
        <w:jc w:val="both"/>
        <w:rPr>
          <w:rFonts w:asciiTheme="majorHAnsi" w:hAnsiTheme="majorHAnsi" w:cstheme="minorHAnsi"/>
          <w:sz w:val="20"/>
          <w:lang w:val="en-GB"/>
        </w:rPr>
      </w:pPr>
      <w:r w:rsidRPr="00604C24">
        <w:rPr>
          <w:rFonts w:asciiTheme="majorHAnsi" w:hAnsiTheme="majorHAnsi" w:cstheme="minorHAnsi"/>
          <w:sz w:val="20"/>
          <w:lang w:val="en-GB"/>
        </w:rPr>
        <w:t>Engagement with assets owned to better understand climate impacts and stimulate alignment with the Paris Agreement, by integrating climate factors into capital allocation choices across listed equities, fixed income, property and infrastructure as well as private assets and decarbonizing portfolios by reducing or removing allocations to high-carbon assets and direct flows towards assets aligned with the low-carbon economy</w:t>
      </w:r>
    </w:p>
    <w:p w14:paraId="1745D21C" w14:textId="77777777" w:rsidR="00283B06" w:rsidRPr="00604C24" w:rsidRDefault="00283B06" w:rsidP="00283B06">
      <w:pPr>
        <w:pStyle w:val="ListParagraph"/>
        <w:numPr>
          <w:ilvl w:val="0"/>
          <w:numId w:val="4"/>
        </w:numPr>
        <w:jc w:val="both"/>
        <w:rPr>
          <w:rFonts w:asciiTheme="majorHAnsi" w:hAnsiTheme="majorHAnsi" w:cstheme="minorHAnsi"/>
          <w:sz w:val="20"/>
          <w:lang w:val="en-GB"/>
        </w:rPr>
      </w:pPr>
      <w:r w:rsidRPr="00604C24">
        <w:rPr>
          <w:rFonts w:asciiTheme="majorHAnsi" w:hAnsiTheme="majorHAnsi" w:cstheme="minorHAnsi"/>
          <w:sz w:val="20"/>
          <w:lang w:val="en-GB"/>
        </w:rPr>
        <w:t>Policy dialogue with local, national and international policy-makers to put in place the reforms needed to correct the market and policy failures that create the climate problem</w:t>
      </w:r>
      <w:r w:rsidRPr="00604C24">
        <w:rPr>
          <w:rStyle w:val="FootnoteReference"/>
          <w:rFonts w:asciiTheme="majorHAnsi" w:hAnsiTheme="majorHAnsi" w:cstheme="minorHAnsi"/>
          <w:sz w:val="20"/>
        </w:rPr>
        <w:footnoteReference w:id="40"/>
      </w:r>
      <w:r w:rsidRPr="00604C24">
        <w:rPr>
          <w:rFonts w:asciiTheme="majorHAnsi" w:hAnsiTheme="majorHAnsi" w:cstheme="minorHAnsi"/>
          <w:sz w:val="20"/>
          <w:lang w:val="en-GB"/>
        </w:rPr>
        <w:t xml:space="preserve"> </w:t>
      </w:r>
    </w:p>
    <w:p w14:paraId="6C9A3EC8" w14:textId="62FBF559" w:rsidR="00283B06" w:rsidRPr="00882B5D" w:rsidRDefault="00283B06" w:rsidP="00283B06">
      <w:pPr>
        <w:pStyle w:val="ListParagraph"/>
        <w:numPr>
          <w:ilvl w:val="0"/>
          <w:numId w:val="4"/>
        </w:numPr>
        <w:jc w:val="both"/>
        <w:rPr>
          <w:rFonts w:asciiTheme="majorHAnsi" w:hAnsiTheme="majorHAnsi" w:cstheme="minorHAnsi"/>
          <w:sz w:val="20"/>
          <w:lang w:val="en-GB"/>
        </w:rPr>
      </w:pPr>
      <w:r w:rsidRPr="00604C24">
        <w:rPr>
          <w:rFonts w:asciiTheme="majorHAnsi" w:hAnsiTheme="majorHAnsi" w:cstheme="minorHAnsi"/>
          <w:sz w:val="20"/>
          <w:lang w:val="en-GB"/>
        </w:rPr>
        <w:t>Scale up and issuance of green financial instruments/bonds</w:t>
      </w:r>
      <w:r w:rsidRPr="00604C24">
        <w:rPr>
          <w:rStyle w:val="FootnoteReference"/>
          <w:rFonts w:asciiTheme="majorHAnsi" w:hAnsiTheme="majorHAnsi" w:cstheme="minorHAnsi"/>
          <w:sz w:val="20"/>
        </w:rPr>
        <w:footnoteReference w:id="41"/>
      </w:r>
    </w:p>
    <w:p w14:paraId="74676ADA" w14:textId="77777777" w:rsidR="00283B06" w:rsidRPr="00A26CC9" w:rsidRDefault="00283B06" w:rsidP="00283B06">
      <w:pPr>
        <w:pStyle w:val="ListParagraph"/>
        <w:ind w:left="360"/>
        <w:jc w:val="both"/>
        <w:rPr>
          <w:rFonts w:asciiTheme="majorHAnsi" w:hAnsiTheme="majorHAnsi" w:cstheme="minorHAnsi"/>
          <w:sz w:val="20"/>
          <w:lang w:val="en-GB"/>
        </w:rPr>
      </w:pPr>
    </w:p>
    <w:p w14:paraId="3E7B1220" w14:textId="77777777" w:rsidR="00283B06" w:rsidRPr="00604C24" w:rsidRDefault="00283B06" w:rsidP="00283B06">
      <w:pPr>
        <w:jc w:val="both"/>
        <w:rPr>
          <w:rFonts w:asciiTheme="majorHAnsi" w:hAnsiTheme="majorHAnsi" w:cstheme="minorHAnsi"/>
          <w:b/>
          <w:sz w:val="20"/>
          <w:lang w:val="en-GB"/>
        </w:rPr>
      </w:pPr>
      <w:r w:rsidRPr="00604C24">
        <w:rPr>
          <w:rFonts w:asciiTheme="majorHAnsi" w:hAnsiTheme="majorHAnsi" w:cstheme="minorHAnsi"/>
          <w:b/>
          <w:sz w:val="20"/>
          <w:lang w:val="en-GB"/>
        </w:rPr>
        <w:t>Corporate actors (banks, asset managers, pension funds, insurers, credit rating agencies, accounting firms, shareholder advisory services, enterprises)</w:t>
      </w:r>
    </w:p>
    <w:p w14:paraId="127322E1" w14:textId="77777777" w:rsidR="00283B06" w:rsidRPr="00604C24" w:rsidRDefault="00283B06" w:rsidP="00283B06">
      <w:pPr>
        <w:pStyle w:val="ListParagraph"/>
        <w:numPr>
          <w:ilvl w:val="0"/>
          <w:numId w:val="5"/>
        </w:numPr>
        <w:jc w:val="both"/>
        <w:rPr>
          <w:rFonts w:asciiTheme="majorHAnsi" w:hAnsiTheme="majorHAnsi" w:cstheme="minorHAnsi"/>
          <w:sz w:val="20"/>
          <w:lang w:val="en-GB"/>
        </w:rPr>
      </w:pPr>
      <w:r w:rsidRPr="00604C24">
        <w:rPr>
          <w:rFonts w:asciiTheme="majorHAnsi" w:hAnsiTheme="majorHAnsi" w:cstheme="minorHAnsi"/>
          <w:sz w:val="20"/>
          <w:lang w:val="en-GB"/>
        </w:rPr>
        <w:t xml:space="preserve">Develop corporate </w:t>
      </w:r>
      <w:r w:rsidRPr="00604C24">
        <w:rPr>
          <w:rFonts w:asciiTheme="majorHAnsi" w:hAnsiTheme="majorHAnsi" w:cstheme="minorHAnsi"/>
          <w:vanish/>
          <w:sz w:val="20"/>
          <w:lang w:val="en-GB"/>
        </w:rPr>
        <w:t xml:space="preserve">responsibility for environmental risks to communitiescompany commitments to social dialogue to ensure a just transition </w:t>
      </w:r>
      <w:r w:rsidRPr="00604C24">
        <w:rPr>
          <w:rFonts w:asciiTheme="majorHAnsi" w:hAnsiTheme="majorHAnsi" w:cstheme="minorHAnsi"/>
          <w:vanish/>
          <w:sz w:val="20"/>
          <w:lang w:val="en-GB"/>
        </w:rPr>
        <w:cr/>
        <w:t>d renew</w:t>
      </w:r>
      <w:r w:rsidRPr="00604C24">
        <w:rPr>
          <w:rFonts w:asciiTheme="majorHAnsi" w:hAnsiTheme="majorHAnsi" w:cstheme="minorHAnsi"/>
          <w:sz w:val="20"/>
          <w:lang w:val="en-GB"/>
        </w:rPr>
        <w:t>plans for the consequences of climate change consistent with the Paris Agreement along with company commitments to social dialogue to ensure a just transition and to foster corporate responsibility for environmental risks to communities</w:t>
      </w:r>
      <w:r w:rsidRPr="00604C24">
        <w:rPr>
          <w:rStyle w:val="FootnoteReference"/>
          <w:rFonts w:asciiTheme="majorHAnsi" w:hAnsiTheme="majorHAnsi" w:cstheme="minorHAnsi"/>
          <w:sz w:val="20"/>
        </w:rPr>
        <w:footnoteReference w:id="42"/>
      </w:r>
      <w:r w:rsidRPr="00604C24">
        <w:rPr>
          <w:rFonts w:asciiTheme="majorHAnsi" w:hAnsiTheme="majorHAnsi" w:cstheme="minorHAnsi"/>
          <w:sz w:val="20"/>
          <w:lang w:val="en-GB"/>
        </w:rPr>
        <w:t xml:space="preserve"> thus embedding climate into economic and financial priorities and improving the sustainability/climate compatibility of their operations</w:t>
      </w:r>
    </w:p>
    <w:p w14:paraId="660DCFA1" w14:textId="77777777" w:rsidR="00283B06" w:rsidRPr="00604C24" w:rsidRDefault="00283B06" w:rsidP="00283B06">
      <w:pPr>
        <w:pStyle w:val="ListParagraph"/>
        <w:numPr>
          <w:ilvl w:val="0"/>
          <w:numId w:val="5"/>
        </w:numPr>
        <w:jc w:val="both"/>
        <w:rPr>
          <w:rFonts w:asciiTheme="majorHAnsi" w:hAnsiTheme="majorHAnsi" w:cstheme="minorHAnsi"/>
          <w:sz w:val="20"/>
          <w:lang w:val="en-GB"/>
        </w:rPr>
      </w:pPr>
      <w:r w:rsidRPr="00604C24">
        <w:rPr>
          <w:rFonts w:asciiTheme="majorHAnsi" w:hAnsiTheme="majorHAnsi" w:cstheme="minorHAnsi"/>
          <w:sz w:val="20"/>
          <w:lang w:val="en-GB"/>
        </w:rPr>
        <w:lastRenderedPageBreak/>
        <w:t>Manage climate, environmental and social risks associated with their financing activities, including by means of introducing investment diversification away from high-carbon assets to protect long-term financial interests of beneficiaries in affected sectors</w:t>
      </w:r>
      <w:r w:rsidRPr="00604C24">
        <w:rPr>
          <w:rStyle w:val="FootnoteReference"/>
          <w:rFonts w:asciiTheme="majorHAnsi" w:hAnsiTheme="majorHAnsi" w:cstheme="minorHAnsi"/>
          <w:sz w:val="20"/>
        </w:rPr>
        <w:footnoteReference w:id="43"/>
      </w:r>
      <w:r w:rsidRPr="00604C24">
        <w:rPr>
          <w:rFonts w:asciiTheme="majorHAnsi" w:hAnsiTheme="majorHAnsi" w:cstheme="minorHAnsi"/>
          <w:sz w:val="20"/>
          <w:lang w:val="en-GB"/>
        </w:rPr>
        <w:t xml:space="preserve"> </w:t>
      </w:r>
    </w:p>
    <w:p w14:paraId="3AE32EAD" w14:textId="77777777" w:rsidR="00283B06" w:rsidRPr="00604C24" w:rsidRDefault="00283B06" w:rsidP="00283B06">
      <w:pPr>
        <w:pStyle w:val="ListParagraph"/>
        <w:numPr>
          <w:ilvl w:val="0"/>
          <w:numId w:val="5"/>
        </w:numPr>
        <w:jc w:val="both"/>
        <w:rPr>
          <w:rFonts w:asciiTheme="majorHAnsi" w:hAnsiTheme="majorHAnsi" w:cstheme="minorHAnsi"/>
          <w:sz w:val="20"/>
          <w:lang w:val="en-GB"/>
        </w:rPr>
      </w:pPr>
      <w:r w:rsidRPr="00604C24">
        <w:rPr>
          <w:rFonts w:asciiTheme="majorHAnsi" w:hAnsiTheme="majorHAnsi" w:cstheme="minorHAnsi"/>
          <w:sz w:val="20"/>
          <w:lang w:val="en-GB"/>
        </w:rPr>
        <w:t>Foster to adopt a shadow carbon price to acknowledge the potential carbon cost, in advance to future regulations or actual carbon pricing</w:t>
      </w:r>
      <w:r w:rsidRPr="00604C24">
        <w:rPr>
          <w:rStyle w:val="FootnoteReference"/>
          <w:rFonts w:asciiTheme="majorHAnsi" w:hAnsiTheme="majorHAnsi" w:cstheme="minorHAnsi"/>
          <w:sz w:val="20"/>
        </w:rPr>
        <w:footnoteReference w:id="44"/>
      </w:r>
    </w:p>
    <w:p w14:paraId="489B94C5" w14:textId="31C2E9BA" w:rsidR="002B0E7E" w:rsidRDefault="00283B06" w:rsidP="00283B06">
      <w:pPr>
        <w:pStyle w:val="ListParagraph"/>
        <w:numPr>
          <w:ilvl w:val="0"/>
          <w:numId w:val="5"/>
        </w:numPr>
        <w:jc w:val="both"/>
        <w:rPr>
          <w:rFonts w:asciiTheme="majorHAnsi" w:hAnsiTheme="majorHAnsi" w:cstheme="minorHAnsi"/>
          <w:sz w:val="20"/>
          <w:lang w:val="en-GB"/>
        </w:rPr>
      </w:pPr>
      <w:r w:rsidRPr="00604C24">
        <w:rPr>
          <w:rFonts w:asciiTheme="majorHAnsi" w:hAnsiTheme="majorHAnsi" w:cstheme="minorHAnsi"/>
          <w:sz w:val="20"/>
          <w:lang w:val="en-GB"/>
        </w:rPr>
        <w:t>Identify opportunities to support clients in finding, scaling up and issuance of green financial instruments/bonds</w:t>
      </w:r>
      <w:r w:rsidR="00DF5AD8">
        <w:rPr>
          <w:rFonts w:asciiTheme="majorHAnsi" w:hAnsiTheme="majorHAnsi" w:cstheme="minorHAnsi"/>
          <w:sz w:val="20"/>
          <w:lang w:val="en-GB"/>
        </w:rPr>
        <w:t>.</w:t>
      </w:r>
    </w:p>
    <w:p w14:paraId="5DF8EDAD" w14:textId="4C46F8C1" w:rsidR="00DF5AD8" w:rsidRDefault="00DF5AD8" w:rsidP="00283B06">
      <w:pPr>
        <w:pStyle w:val="ListParagraph"/>
        <w:numPr>
          <w:ilvl w:val="0"/>
          <w:numId w:val="5"/>
        </w:numPr>
        <w:jc w:val="both"/>
        <w:rPr>
          <w:rFonts w:asciiTheme="majorHAnsi" w:hAnsiTheme="majorHAnsi" w:cstheme="minorHAnsi"/>
          <w:sz w:val="20"/>
          <w:lang w:val="en-GB"/>
        </w:rPr>
      </w:pPr>
      <w:r>
        <w:rPr>
          <w:rFonts w:asciiTheme="majorHAnsi" w:hAnsiTheme="majorHAnsi" w:cstheme="minorHAnsi"/>
          <w:sz w:val="20"/>
          <w:lang w:val="en-GB"/>
        </w:rPr>
        <w:t xml:space="preserve">Adopt measures </w:t>
      </w:r>
      <w:r w:rsidR="000B6AE6">
        <w:rPr>
          <w:rFonts w:asciiTheme="majorHAnsi" w:hAnsiTheme="majorHAnsi" w:cstheme="minorHAnsi"/>
          <w:sz w:val="20"/>
          <w:lang w:val="en-GB"/>
        </w:rPr>
        <w:t xml:space="preserve">to </w:t>
      </w:r>
      <w:r>
        <w:rPr>
          <w:rFonts w:asciiTheme="majorHAnsi" w:hAnsiTheme="majorHAnsi" w:cstheme="minorHAnsi"/>
          <w:sz w:val="20"/>
          <w:lang w:val="en-GB"/>
        </w:rPr>
        <w:t>adapt to the climate related risks of their respective industries (</w:t>
      </w:r>
      <w:r w:rsidR="00FF7ACE">
        <w:rPr>
          <w:rFonts w:asciiTheme="majorHAnsi" w:hAnsiTheme="majorHAnsi" w:cstheme="minorHAnsi"/>
          <w:sz w:val="20"/>
          <w:lang w:val="en-GB"/>
        </w:rPr>
        <w:t xml:space="preserve">both </w:t>
      </w:r>
      <w:r>
        <w:rPr>
          <w:rFonts w:asciiTheme="majorHAnsi" w:hAnsiTheme="majorHAnsi" w:cstheme="minorHAnsi"/>
          <w:sz w:val="20"/>
          <w:lang w:val="en-GB"/>
        </w:rPr>
        <w:t xml:space="preserve">existent and expected) </w:t>
      </w:r>
    </w:p>
    <w:p w14:paraId="46E0332C" w14:textId="77003C1C" w:rsidR="007410E5" w:rsidRPr="00877865" w:rsidRDefault="0054594C" w:rsidP="0054594C">
      <w:pPr>
        <w:jc w:val="both"/>
        <w:rPr>
          <w:rFonts w:asciiTheme="majorHAnsi" w:hAnsiTheme="majorHAnsi" w:cstheme="minorHAnsi"/>
          <w:sz w:val="20"/>
          <w:highlight w:val="yellow"/>
          <w:lang w:val="en-US"/>
        </w:rPr>
      </w:pPr>
      <w:r>
        <w:rPr>
          <w:rFonts w:asciiTheme="majorHAnsi" w:hAnsiTheme="majorHAnsi" w:cstheme="minorHAnsi"/>
          <w:sz w:val="20"/>
          <w:lang w:val="en-GB"/>
        </w:rPr>
        <w:t>AILAC looks forward to this year</w:t>
      </w:r>
      <w:r w:rsidR="00D54299">
        <w:rPr>
          <w:rFonts w:asciiTheme="majorHAnsi" w:hAnsiTheme="majorHAnsi" w:cstheme="minorHAnsi"/>
          <w:sz w:val="20"/>
          <w:lang w:val="en-GB"/>
        </w:rPr>
        <w:t>’</w:t>
      </w:r>
      <w:r>
        <w:rPr>
          <w:rFonts w:asciiTheme="majorHAnsi" w:hAnsiTheme="majorHAnsi" w:cstheme="minorHAnsi"/>
          <w:sz w:val="20"/>
          <w:lang w:val="en-GB"/>
        </w:rPr>
        <w:t xml:space="preserve">s discussions over this issue, as part of the work of the Standing Committee on Finance as well as part of negotiations of the new collective quantified goal on finance that also will consider climate consistency of financial flows as one of its elements. </w:t>
      </w:r>
    </w:p>
    <w:p w14:paraId="634969DB" w14:textId="3DADFF0E" w:rsidR="00593CFE" w:rsidRDefault="00593CFE" w:rsidP="00593CFE">
      <w:pPr>
        <w:jc w:val="both"/>
        <w:rPr>
          <w:rFonts w:asciiTheme="majorHAnsi" w:hAnsiTheme="majorHAnsi"/>
          <w:sz w:val="16"/>
          <w:szCs w:val="16"/>
          <w:lang w:val="en-GB"/>
        </w:rPr>
      </w:pPr>
    </w:p>
    <w:sectPr w:rsidR="00593CFE" w:rsidSect="007F76A8">
      <w:headerReference w:type="even" r:id="rId21"/>
      <w:headerReference w:type="default" r:id="rId22"/>
      <w:footerReference w:type="even" r:id="rId23"/>
      <w:footerReference w:type="default" r:id="rId24"/>
      <w:headerReference w:type="first" r:id="rId25"/>
      <w:footerReference w:type="first" r:id="rId26"/>
      <w:pgSz w:w="12240" w:h="15840"/>
      <w:pgMar w:top="13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5AD04" w14:textId="77777777" w:rsidR="00F827A2" w:rsidRDefault="00F827A2" w:rsidP="00B94EA8">
      <w:pPr>
        <w:spacing w:after="0" w:line="240" w:lineRule="auto"/>
      </w:pPr>
      <w:r>
        <w:separator/>
      </w:r>
    </w:p>
  </w:endnote>
  <w:endnote w:type="continuationSeparator" w:id="0">
    <w:p w14:paraId="00A1F681" w14:textId="77777777" w:rsidR="00F827A2" w:rsidRDefault="00F827A2" w:rsidP="00B94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87E6" w14:textId="77777777" w:rsidR="00C252AC" w:rsidRDefault="00C252AC" w:rsidP="003B33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ABA57E" w14:textId="77777777" w:rsidR="00C252AC" w:rsidRDefault="00C252AC" w:rsidP="00D36B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8BF50" w14:textId="64C90FC4" w:rsidR="00C252AC" w:rsidRDefault="00C252AC" w:rsidP="003B33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5AD8">
      <w:rPr>
        <w:rStyle w:val="PageNumber"/>
        <w:noProof/>
      </w:rPr>
      <w:t>1</w:t>
    </w:r>
    <w:r>
      <w:rPr>
        <w:rStyle w:val="PageNumber"/>
      </w:rPr>
      <w:fldChar w:fldCharType="end"/>
    </w:r>
  </w:p>
  <w:p w14:paraId="24E04EB8" w14:textId="77777777" w:rsidR="00C252AC" w:rsidRDefault="00C252AC" w:rsidP="00D36B6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DB0F8" w14:textId="77777777" w:rsidR="00C252AC" w:rsidRDefault="00C25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0B266" w14:textId="77777777" w:rsidR="00F827A2" w:rsidRDefault="00F827A2" w:rsidP="00B94EA8">
      <w:pPr>
        <w:spacing w:after="0" w:line="240" w:lineRule="auto"/>
      </w:pPr>
      <w:r>
        <w:separator/>
      </w:r>
    </w:p>
  </w:footnote>
  <w:footnote w:type="continuationSeparator" w:id="0">
    <w:p w14:paraId="4AEACEF5" w14:textId="77777777" w:rsidR="00F827A2" w:rsidRDefault="00F827A2" w:rsidP="00B94EA8">
      <w:pPr>
        <w:spacing w:after="0" w:line="240" w:lineRule="auto"/>
      </w:pPr>
      <w:r>
        <w:continuationSeparator/>
      </w:r>
    </w:p>
  </w:footnote>
  <w:footnote w:id="1">
    <w:p w14:paraId="26ADC42F" w14:textId="77777777" w:rsidR="00283B06" w:rsidRPr="007F0356" w:rsidRDefault="00283B06" w:rsidP="00283B06">
      <w:pPr>
        <w:pStyle w:val="FootnoteText"/>
        <w:rPr>
          <w:rFonts w:asciiTheme="majorHAnsi" w:hAnsiTheme="majorHAnsi"/>
          <w:sz w:val="16"/>
          <w:szCs w:val="16"/>
          <w:lang w:val="en-GB"/>
        </w:rPr>
      </w:pPr>
      <w:r w:rsidRPr="007F0356">
        <w:rPr>
          <w:rStyle w:val="FootnoteReference"/>
          <w:rFonts w:asciiTheme="majorHAnsi" w:hAnsiTheme="majorHAnsi"/>
          <w:sz w:val="16"/>
          <w:szCs w:val="16"/>
        </w:rPr>
        <w:footnoteRef/>
      </w:r>
      <w:r w:rsidRPr="007F0356">
        <w:rPr>
          <w:rFonts w:asciiTheme="majorHAnsi" w:hAnsiTheme="majorHAnsi"/>
          <w:sz w:val="16"/>
          <w:szCs w:val="16"/>
          <w:lang w:val="en-GB"/>
        </w:rPr>
        <w:t xml:space="preserve"> </w:t>
      </w:r>
      <w:r w:rsidRPr="007F0356">
        <w:rPr>
          <w:rFonts w:asciiTheme="majorHAnsi" w:hAnsiTheme="majorHAnsi" w:cstheme="minorHAnsi"/>
          <w:i/>
          <w:sz w:val="16"/>
          <w:szCs w:val="16"/>
          <w:lang w:val="en-US"/>
        </w:rPr>
        <w:t>UNFCCC Standing Committee</w:t>
      </w:r>
      <w:r w:rsidRPr="007F0356">
        <w:rPr>
          <w:rFonts w:asciiTheme="majorHAnsi" w:hAnsiTheme="majorHAnsi"/>
          <w:sz w:val="16"/>
          <w:szCs w:val="16"/>
          <w:lang w:val="en-GB"/>
        </w:rPr>
        <w:t xml:space="preserve"> on Finance, </w:t>
      </w:r>
      <w:r w:rsidRPr="007F0356">
        <w:rPr>
          <w:rFonts w:asciiTheme="majorHAnsi" w:hAnsiTheme="majorHAnsi"/>
          <w:i/>
          <w:iCs/>
          <w:sz w:val="16"/>
          <w:szCs w:val="16"/>
          <w:lang w:val="en-GB"/>
        </w:rPr>
        <w:t xml:space="preserve">2020 Biennial Assessment </w:t>
      </w:r>
      <w:r w:rsidRPr="007F0356">
        <w:rPr>
          <w:rFonts w:asciiTheme="majorHAnsi" w:hAnsiTheme="majorHAnsi" w:cstheme="minorHAnsi"/>
          <w:i/>
          <w:iCs/>
          <w:sz w:val="16"/>
          <w:szCs w:val="16"/>
          <w:lang w:val="en-US"/>
        </w:rPr>
        <w:t>and</w:t>
      </w:r>
      <w:r w:rsidRPr="007F0356">
        <w:rPr>
          <w:rFonts w:asciiTheme="majorHAnsi" w:hAnsiTheme="majorHAnsi" w:cstheme="minorHAnsi"/>
          <w:i/>
          <w:sz w:val="16"/>
          <w:szCs w:val="16"/>
          <w:lang w:val="en-US"/>
        </w:rPr>
        <w:t xml:space="preserve"> Overview of Climate Financial Flows, </w:t>
      </w:r>
      <w:r w:rsidRPr="007F0356">
        <w:rPr>
          <w:rFonts w:asciiTheme="majorHAnsi" w:hAnsiTheme="majorHAnsi" w:cstheme="minorHAnsi"/>
          <w:sz w:val="16"/>
          <w:szCs w:val="16"/>
          <w:lang w:val="en-US"/>
        </w:rPr>
        <w:t>2021, UNFCCC</w:t>
      </w:r>
    </w:p>
  </w:footnote>
  <w:footnote w:id="2">
    <w:p w14:paraId="734C171D"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w:t>
      </w:r>
      <w:r w:rsidRPr="007F0356">
        <w:rPr>
          <w:rFonts w:asciiTheme="majorHAnsi" w:hAnsiTheme="majorHAnsi" w:cstheme="minorHAnsi"/>
          <w:sz w:val="16"/>
          <w:szCs w:val="16"/>
          <w:lang w:val="en-US"/>
        </w:rPr>
        <w:t>UNFCCC Standing Committee on Finance,</w:t>
      </w:r>
      <w:r w:rsidRPr="007F0356">
        <w:rPr>
          <w:rFonts w:asciiTheme="majorHAnsi" w:hAnsiTheme="majorHAnsi" w:cstheme="minorHAnsi"/>
          <w:i/>
          <w:sz w:val="16"/>
          <w:szCs w:val="16"/>
          <w:lang w:val="en-US"/>
        </w:rPr>
        <w:t xml:space="preserve"> 2018 Biennial Assessment…,</w:t>
      </w:r>
      <w:r w:rsidRPr="007F0356">
        <w:rPr>
          <w:rFonts w:asciiTheme="majorHAnsi" w:hAnsiTheme="majorHAnsi" w:cstheme="minorHAnsi"/>
          <w:sz w:val="16"/>
          <w:szCs w:val="16"/>
          <w:lang w:val="en-US"/>
        </w:rPr>
        <w:t xml:space="preserve">  p. 6, 13, 54, 63, 64, 80</w:t>
      </w:r>
    </w:p>
  </w:footnote>
  <w:footnote w:id="3">
    <w:p w14:paraId="491F9DC9" w14:textId="77777777" w:rsidR="00283B06" w:rsidRPr="0049685D" w:rsidRDefault="00283B06" w:rsidP="00283B06">
      <w:pPr>
        <w:pStyle w:val="FootnoteText"/>
        <w:rPr>
          <w:rFonts w:asciiTheme="minorHAnsi" w:hAnsiTheme="minorHAnsi" w:cstheme="minorHAnsi"/>
          <w:sz w:val="16"/>
          <w:szCs w:val="16"/>
          <w:lang w:val="en-US"/>
        </w:rPr>
      </w:pPr>
      <w:r w:rsidRPr="007F0356">
        <w:rPr>
          <w:rFonts w:asciiTheme="majorHAnsi" w:hAnsiTheme="majorHAnsi" w:cstheme="minorHAnsi"/>
          <w:sz w:val="16"/>
          <w:szCs w:val="16"/>
          <w:vertAlign w:val="superscript"/>
          <w:lang w:val="en-US"/>
        </w:rPr>
        <w:footnoteRef/>
      </w:r>
      <w:r w:rsidRPr="007F0356">
        <w:rPr>
          <w:rFonts w:asciiTheme="majorHAnsi" w:hAnsiTheme="majorHAnsi" w:cstheme="minorHAnsi"/>
          <w:sz w:val="16"/>
          <w:szCs w:val="16"/>
          <w:vertAlign w:val="superscript"/>
          <w:lang w:val="en-US"/>
        </w:rPr>
        <w:t xml:space="preserve"> </w:t>
      </w:r>
      <w:r w:rsidRPr="007F0356">
        <w:rPr>
          <w:rFonts w:asciiTheme="majorHAnsi" w:hAnsiTheme="majorHAnsi" w:cstheme="minorHAnsi"/>
          <w:iCs/>
          <w:sz w:val="16"/>
          <w:szCs w:val="16"/>
          <w:lang w:val="en-US"/>
        </w:rPr>
        <w:t>World Bank Group - WBG</w:t>
      </w:r>
      <w:r w:rsidRPr="007F0356">
        <w:rPr>
          <w:rFonts w:asciiTheme="majorHAnsi" w:hAnsiTheme="majorHAnsi" w:cstheme="minorHAnsi"/>
          <w:sz w:val="16"/>
          <w:szCs w:val="16"/>
          <w:lang w:val="en-US"/>
        </w:rPr>
        <w:t xml:space="preserve">, </w:t>
      </w:r>
      <w:r w:rsidRPr="007F0356">
        <w:rPr>
          <w:rFonts w:asciiTheme="majorHAnsi" w:hAnsiTheme="majorHAnsi" w:cstheme="minorHAnsi"/>
          <w:i/>
          <w:iCs/>
          <w:sz w:val="16"/>
          <w:szCs w:val="16"/>
          <w:lang w:val="en-US"/>
        </w:rPr>
        <w:t>Shock Waves: Managing the impacts of climate change in poverty</w:t>
      </w:r>
      <w:r w:rsidRPr="007F0356">
        <w:rPr>
          <w:rFonts w:asciiTheme="majorHAnsi" w:hAnsiTheme="majorHAnsi" w:cstheme="minorHAnsi"/>
          <w:sz w:val="16"/>
          <w:szCs w:val="16"/>
          <w:lang w:val="en-US"/>
        </w:rPr>
        <w:t>, 2016, p. 20.</w:t>
      </w:r>
      <w:r w:rsidRPr="0049685D">
        <w:rPr>
          <w:rFonts w:asciiTheme="minorHAnsi" w:hAnsiTheme="minorHAnsi" w:cstheme="minorHAnsi"/>
          <w:sz w:val="16"/>
          <w:szCs w:val="16"/>
          <w:lang w:val="en-US"/>
        </w:rPr>
        <w:t xml:space="preserve"> </w:t>
      </w:r>
    </w:p>
  </w:footnote>
  <w:footnote w:id="4">
    <w:p w14:paraId="5CF4F15F" w14:textId="77777777" w:rsidR="00283B06" w:rsidRPr="007F0356" w:rsidRDefault="00283B06" w:rsidP="00283B06">
      <w:pPr>
        <w:pStyle w:val="FootnoteText"/>
        <w:rPr>
          <w:rFonts w:asciiTheme="majorHAnsi" w:hAnsiTheme="majorHAnsi" w:cstheme="minorHAnsi"/>
          <w:sz w:val="16"/>
          <w:szCs w:val="16"/>
          <w:lang w:val="en-AU"/>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AU"/>
        </w:rPr>
        <w:t xml:space="preserve"> Rob Vos, Will Martin and David Laborde, </w:t>
      </w:r>
      <w:r w:rsidRPr="007F0356">
        <w:rPr>
          <w:rFonts w:asciiTheme="majorHAnsi" w:hAnsiTheme="majorHAnsi" w:cstheme="minorHAnsi"/>
          <w:i/>
          <w:sz w:val="16"/>
          <w:szCs w:val="16"/>
          <w:lang w:val="en-AU"/>
        </w:rPr>
        <w:t>How much will global poverty increase because of COVID19?</w:t>
      </w:r>
      <w:r w:rsidRPr="007F0356">
        <w:rPr>
          <w:rFonts w:asciiTheme="majorHAnsi" w:hAnsiTheme="majorHAnsi" w:cstheme="minorHAnsi"/>
          <w:sz w:val="16"/>
          <w:szCs w:val="16"/>
          <w:lang w:val="en-AU"/>
        </w:rPr>
        <w:t xml:space="preserve">, International Food Policy Research Institute, retrieved from </w:t>
      </w:r>
      <w:hyperlink r:id="rId1" w:history="1">
        <w:r w:rsidRPr="007F0356">
          <w:rPr>
            <w:rStyle w:val="Hyperlink"/>
            <w:rFonts w:asciiTheme="majorHAnsi" w:hAnsiTheme="majorHAnsi" w:cstheme="minorHAnsi"/>
            <w:sz w:val="16"/>
            <w:szCs w:val="16"/>
            <w:lang w:val="en-AU"/>
          </w:rPr>
          <w:t>https://www.ifpri.org/blog/how-much-will-global-poverty-increase-because-covid-19</w:t>
        </w:r>
      </w:hyperlink>
      <w:r w:rsidRPr="007F0356">
        <w:rPr>
          <w:rFonts w:asciiTheme="majorHAnsi" w:hAnsiTheme="majorHAnsi" w:cstheme="minorHAnsi"/>
          <w:sz w:val="16"/>
          <w:szCs w:val="16"/>
          <w:lang w:val="en-AU"/>
        </w:rPr>
        <w:t xml:space="preserve"> </w:t>
      </w:r>
    </w:p>
  </w:footnote>
  <w:footnote w:id="5">
    <w:p w14:paraId="3BDCC30C" w14:textId="77777777" w:rsidR="00283B06" w:rsidRPr="007F0356" w:rsidRDefault="00283B06" w:rsidP="00283B06">
      <w:pPr>
        <w:pStyle w:val="FootnoteText"/>
        <w:rPr>
          <w:rFonts w:asciiTheme="majorHAnsi" w:hAnsiTheme="majorHAnsi" w:cstheme="minorHAnsi"/>
          <w:sz w:val="16"/>
          <w:szCs w:val="16"/>
          <w:lang w:val="en-US"/>
        </w:rPr>
      </w:pPr>
      <w:r w:rsidRPr="007F0356">
        <w:rPr>
          <w:rFonts w:asciiTheme="majorHAnsi" w:hAnsiTheme="majorHAnsi" w:cstheme="minorHAnsi"/>
          <w:sz w:val="16"/>
          <w:szCs w:val="16"/>
          <w:vertAlign w:val="superscript"/>
          <w:lang w:val="en-US"/>
        </w:rPr>
        <w:footnoteRef/>
      </w:r>
      <w:r w:rsidRPr="007F0356">
        <w:rPr>
          <w:rFonts w:asciiTheme="majorHAnsi" w:hAnsiTheme="majorHAnsi" w:cstheme="minorHAnsi"/>
          <w:sz w:val="16"/>
          <w:szCs w:val="16"/>
          <w:lang w:val="en-US"/>
        </w:rPr>
        <w:t xml:space="preserve"> OECD, UNEP, WBG, </w:t>
      </w:r>
      <w:r w:rsidRPr="007F0356">
        <w:rPr>
          <w:rFonts w:asciiTheme="majorHAnsi" w:hAnsiTheme="majorHAnsi" w:cstheme="minorHAnsi"/>
          <w:i/>
          <w:sz w:val="16"/>
          <w:szCs w:val="16"/>
          <w:lang w:val="en-US"/>
        </w:rPr>
        <w:t>Financing climate futures. Rethinking infrastructure</w:t>
      </w:r>
      <w:r w:rsidRPr="007F0356">
        <w:rPr>
          <w:rFonts w:asciiTheme="majorHAnsi" w:hAnsiTheme="majorHAnsi" w:cstheme="minorHAnsi"/>
          <w:sz w:val="16"/>
          <w:szCs w:val="16"/>
          <w:lang w:val="en-US"/>
        </w:rPr>
        <w:t>, 2018, p. 1</w:t>
      </w:r>
    </w:p>
  </w:footnote>
  <w:footnote w:id="6">
    <w:p w14:paraId="1F336EAA" w14:textId="77777777" w:rsidR="00283B06" w:rsidRPr="007F0356" w:rsidRDefault="00283B06" w:rsidP="00283B06">
      <w:pPr>
        <w:pStyle w:val="FootnoteText"/>
        <w:rPr>
          <w:rFonts w:asciiTheme="majorHAnsi" w:hAnsiTheme="majorHAnsi"/>
          <w:lang w:val="en-GB"/>
        </w:rPr>
      </w:pPr>
      <w:r w:rsidRPr="007F0356">
        <w:rPr>
          <w:rStyle w:val="FootnoteReference"/>
          <w:rFonts w:asciiTheme="majorHAnsi" w:hAnsiTheme="majorHAnsi"/>
          <w:sz w:val="16"/>
          <w:szCs w:val="16"/>
        </w:rPr>
        <w:footnoteRef/>
      </w:r>
      <w:r w:rsidRPr="007F0356">
        <w:rPr>
          <w:rFonts w:asciiTheme="majorHAnsi" w:hAnsiTheme="majorHAnsi"/>
          <w:sz w:val="16"/>
          <w:szCs w:val="16"/>
          <w:lang w:val="en-GB"/>
        </w:rPr>
        <w:t xml:space="preserve"> </w:t>
      </w:r>
      <w:r w:rsidRPr="007F0356">
        <w:rPr>
          <w:rFonts w:asciiTheme="majorHAnsi" w:hAnsiTheme="majorHAnsi" w:cstheme="minorHAnsi"/>
          <w:iCs/>
          <w:sz w:val="16"/>
          <w:szCs w:val="16"/>
          <w:lang w:val="en-US"/>
        </w:rPr>
        <w:t>UNFCCC Standing Committee</w:t>
      </w:r>
      <w:r w:rsidRPr="007F0356">
        <w:rPr>
          <w:rFonts w:asciiTheme="majorHAnsi" w:hAnsiTheme="majorHAnsi"/>
          <w:sz w:val="16"/>
          <w:szCs w:val="16"/>
          <w:lang w:val="en-GB"/>
        </w:rPr>
        <w:t xml:space="preserve"> on Finance, </w:t>
      </w:r>
      <w:r w:rsidRPr="007F0356">
        <w:rPr>
          <w:rFonts w:asciiTheme="majorHAnsi" w:hAnsiTheme="majorHAnsi"/>
          <w:i/>
          <w:iCs/>
          <w:sz w:val="16"/>
          <w:szCs w:val="16"/>
          <w:lang w:val="en-GB"/>
        </w:rPr>
        <w:t xml:space="preserve">2020 Biennial Assessment…, </w:t>
      </w:r>
      <w:r w:rsidRPr="007F0356">
        <w:rPr>
          <w:rFonts w:asciiTheme="majorHAnsi" w:hAnsiTheme="majorHAnsi"/>
          <w:sz w:val="16"/>
          <w:szCs w:val="16"/>
          <w:lang w:val="en-GB"/>
        </w:rPr>
        <w:t>pp. 12 &amp; 13</w:t>
      </w:r>
    </w:p>
  </w:footnote>
  <w:footnote w:id="7">
    <w:p w14:paraId="1329384B"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UNFCCC </w:t>
      </w:r>
      <w:r w:rsidRPr="007F0356">
        <w:rPr>
          <w:rFonts w:asciiTheme="majorHAnsi" w:hAnsiTheme="majorHAnsi" w:cstheme="minorHAnsi"/>
          <w:sz w:val="16"/>
          <w:szCs w:val="16"/>
          <w:lang w:val="en-US"/>
        </w:rPr>
        <w:t>Standing Committee on Finance,</w:t>
      </w:r>
      <w:r w:rsidRPr="007F0356">
        <w:rPr>
          <w:rFonts w:asciiTheme="majorHAnsi" w:hAnsiTheme="majorHAnsi" w:cstheme="minorHAnsi"/>
          <w:i/>
          <w:sz w:val="16"/>
          <w:szCs w:val="16"/>
          <w:lang w:val="en-US"/>
        </w:rPr>
        <w:t xml:space="preserve"> 2018 Biennial Assessment…,</w:t>
      </w:r>
      <w:r w:rsidRPr="007F0356">
        <w:rPr>
          <w:rFonts w:asciiTheme="majorHAnsi" w:hAnsiTheme="majorHAnsi" w:cstheme="minorHAnsi"/>
          <w:sz w:val="16"/>
          <w:szCs w:val="16"/>
          <w:lang w:val="en-US"/>
        </w:rPr>
        <w:t xml:space="preserve">  p. 13</w:t>
      </w:r>
    </w:p>
  </w:footnote>
  <w:footnote w:id="8">
    <w:p w14:paraId="2F614221" w14:textId="77777777" w:rsidR="00283B06" w:rsidRPr="007F0356" w:rsidRDefault="00283B06" w:rsidP="00283B06">
      <w:pPr>
        <w:pStyle w:val="FootnoteText"/>
        <w:rPr>
          <w:rFonts w:asciiTheme="majorHAnsi" w:hAnsiTheme="majorHAnsi" w:cstheme="minorHAnsi"/>
          <w:sz w:val="16"/>
          <w:szCs w:val="16"/>
          <w:lang w:val="en-US"/>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US"/>
        </w:rPr>
        <w:t xml:space="preserve"> The concept of net climate finance represents the value of climate finance flows minus financial flows to high-emissions and maladaptive activities, which are currently heavily skewed toward dirty investments. Paul Bodnar, Caroline Ott, Joe Thwaites, Laetitia de Marez, Bianka Kretschmer, </w:t>
      </w:r>
      <w:r w:rsidRPr="007F0356">
        <w:rPr>
          <w:rFonts w:asciiTheme="majorHAnsi" w:hAnsiTheme="majorHAnsi" w:cstheme="minorHAnsi"/>
          <w:i/>
          <w:sz w:val="16"/>
          <w:szCs w:val="16"/>
          <w:lang w:val="en-US"/>
        </w:rPr>
        <w:t>Net Climate Finance. Reconciling the Clean and Dirty Sides of the Finance Ledger</w:t>
      </w:r>
      <w:r w:rsidRPr="007F0356">
        <w:rPr>
          <w:rFonts w:asciiTheme="majorHAnsi" w:hAnsiTheme="majorHAnsi" w:cstheme="minorHAnsi"/>
          <w:sz w:val="16"/>
          <w:szCs w:val="16"/>
          <w:lang w:val="en-US"/>
        </w:rPr>
        <w:t xml:space="preserve">. Discussion Paper, Rocky Mountain Institute, 2017, p.1. </w:t>
      </w:r>
    </w:p>
  </w:footnote>
  <w:footnote w:id="9">
    <w:p w14:paraId="4132BE43" w14:textId="77777777" w:rsidR="00283B06" w:rsidRPr="007F0356" w:rsidRDefault="00283B06" w:rsidP="00283B06">
      <w:pPr>
        <w:pStyle w:val="FootnoteText"/>
        <w:rPr>
          <w:rFonts w:asciiTheme="majorHAnsi" w:hAnsiTheme="majorHAnsi"/>
          <w:lang w:val="en-GB"/>
        </w:rPr>
      </w:pPr>
      <w:r w:rsidRPr="007F0356">
        <w:rPr>
          <w:rFonts w:asciiTheme="majorHAnsi" w:hAnsiTheme="majorHAnsi" w:cstheme="minorHAnsi"/>
          <w:sz w:val="16"/>
          <w:szCs w:val="16"/>
          <w:vertAlign w:val="superscript"/>
          <w:lang w:val="en-US"/>
        </w:rPr>
        <w:footnoteRef/>
      </w:r>
      <w:r w:rsidRPr="007F0356">
        <w:rPr>
          <w:rFonts w:asciiTheme="majorHAnsi" w:hAnsiTheme="majorHAnsi" w:cstheme="minorHAnsi"/>
          <w:sz w:val="16"/>
          <w:szCs w:val="16"/>
          <w:vertAlign w:val="superscript"/>
          <w:lang w:val="en-US"/>
        </w:rPr>
        <w:t xml:space="preserve"> </w:t>
      </w:r>
      <w:r w:rsidRPr="007F0356">
        <w:rPr>
          <w:rFonts w:asciiTheme="majorHAnsi" w:hAnsiTheme="majorHAnsi" w:cstheme="minorHAnsi"/>
          <w:sz w:val="16"/>
          <w:szCs w:val="16"/>
          <w:lang w:val="en-US"/>
        </w:rPr>
        <w:t>Decision 1/CMA.3, paragraph 36</w:t>
      </w:r>
    </w:p>
  </w:footnote>
  <w:footnote w:id="10">
    <w:p w14:paraId="52B9D4C0" w14:textId="77777777" w:rsidR="00283B06" w:rsidRPr="007F0356" w:rsidRDefault="00283B06" w:rsidP="00283B06">
      <w:pPr>
        <w:pStyle w:val="FootnoteText"/>
        <w:rPr>
          <w:rFonts w:asciiTheme="majorHAnsi" w:hAnsiTheme="majorHAnsi"/>
          <w:lang w:val="en-GB"/>
        </w:rPr>
      </w:pPr>
      <w:r w:rsidRPr="007F0356">
        <w:rPr>
          <w:rStyle w:val="FootnoteReference"/>
          <w:rFonts w:asciiTheme="majorHAnsi" w:hAnsiTheme="majorHAnsi"/>
          <w:sz w:val="16"/>
          <w:szCs w:val="16"/>
        </w:rPr>
        <w:footnoteRef/>
      </w:r>
      <w:r w:rsidRPr="007F0356">
        <w:rPr>
          <w:rFonts w:asciiTheme="majorHAnsi" w:hAnsiTheme="majorHAnsi"/>
          <w:sz w:val="16"/>
          <w:szCs w:val="16"/>
          <w:lang w:val="en-GB"/>
        </w:rPr>
        <w:t xml:space="preserve"> </w:t>
      </w:r>
      <w:r w:rsidRPr="007F0356">
        <w:rPr>
          <w:rFonts w:asciiTheme="majorHAnsi" w:hAnsiTheme="majorHAnsi" w:cstheme="minorHAnsi"/>
          <w:sz w:val="16"/>
          <w:szCs w:val="16"/>
          <w:lang w:val="en-GB"/>
        </w:rPr>
        <w:t xml:space="preserve">OECD, </w:t>
      </w:r>
      <w:r w:rsidRPr="007F0356">
        <w:rPr>
          <w:rFonts w:asciiTheme="majorHAnsi" w:hAnsiTheme="majorHAnsi" w:cstheme="minorHAnsi"/>
          <w:i/>
          <w:sz w:val="16"/>
          <w:szCs w:val="16"/>
          <w:lang w:val="en-GB"/>
        </w:rPr>
        <w:t>Aligning Development Cooperation and Climate-Action: The only way forward</w:t>
      </w:r>
      <w:r w:rsidRPr="007F0356">
        <w:rPr>
          <w:rFonts w:asciiTheme="majorHAnsi" w:hAnsiTheme="majorHAnsi" w:cstheme="minorHAnsi"/>
          <w:sz w:val="16"/>
          <w:szCs w:val="16"/>
          <w:lang w:val="en-GB"/>
        </w:rPr>
        <w:t>, OECD 2019, p. 13</w:t>
      </w:r>
    </w:p>
  </w:footnote>
  <w:footnote w:id="11">
    <w:p w14:paraId="3E239D5F" w14:textId="173DEB28" w:rsidR="00283B06" w:rsidRPr="00F02D7F" w:rsidRDefault="00283B06" w:rsidP="00283B06">
      <w:pPr>
        <w:pStyle w:val="FootnoteText"/>
        <w:rPr>
          <w:sz w:val="16"/>
          <w:szCs w:val="16"/>
          <w:lang w:val="en-GB"/>
        </w:rPr>
      </w:pPr>
      <w:r w:rsidRPr="007F0356">
        <w:rPr>
          <w:rStyle w:val="FootnoteReference"/>
          <w:rFonts w:asciiTheme="majorHAnsi" w:hAnsiTheme="majorHAnsi"/>
          <w:sz w:val="16"/>
          <w:szCs w:val="16"/>
        </w:rPr>
        <w:footnoteRef/>
      </w:r>
      <w:r w:rsidRPr="007F0356">
        <w:rPr>
          <w:rFonts w:asciiTheme="majorHAnsi" w:hAnsiTheme="majorHAnsi"/>
          <w:sz w:val="16"/>
          <w:szCs w:val="16"/>
          <w:lang w:val="en-GB"/>
        </w:rPr>
        <w:t xml:space="preserve"> OE</w:t>
      </w:r>
      <w:r w:rsidR="00BC1D05">
        <w:rPr>
          <w:rFonts w:asciiTheme="majorHAnsi" w:hAnsiTheme="majorHAnsi"/>
          <w:sz w:val="16"/>
          <w:szCs w:val="16"/>
          <w:lang w:val="en-GB"/>
        </w:rPr>
        <w:t>C</w:t>
      </w:r>
      <w:r w:rsidRPr="007F0356">
        <w:rPr>
          <w:rFonts w:asciiTheme="majorHAnsi" w:hAnsiTheme="majorHAnsi"/>
          <w:sz w:val="16"/>
          <w:szCs w:val="16"/>
          <w:lang w:val="en-GB"/>
        </w:rPr>
        <w:t xml:space="preserve">D, </w:t>
      </w:r>
      <w:r w:rsidRPr="007F0356">
        <w:rPr>
          <w:rFonts w:asciiTheme="majorHAnsi" w:hAnsiTheme="majorHAnsi"/>
          <w:i/>
          <w:iCs/>
          <w:sz w:val="16"/>
          <w:szCs w:val="16"/>
          <w:lang w:val="en-GB"/>
        </w:rPr>
        <w:t>Framing paper on climate-resilient finance and investment</w:t>
      </w:r>
      <w:r w:rsidRPr="007F0356">
        <w:rPr>
          <w:rFonts w:asciiTheme="majorHAnsi" w:hAnsiTheme="majorHAnsi"/>
          <w:sz w:val="16"/>
          <w:szCs w:val="16"/>
          <w:lang w:val="en-GB"/>
        </w:rPr>
        <w:t>, 2021, p. 18</w:t>
      </w:r>
    </w:p>
  </w:footnote>
  <w:footnote w:id="12">
    <w:p w14:paraId="77591442"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OECD, </w:t>
      </w:r>
      <w:r w:rsidRPr="007F0356">
        <w:rPr>
          <w:rFonts w:asciiTheme="majorHAnsi" w:hAnsiTheme="majorHAnsi" w:cstheme="minorHAnsi"/>
          <w:i/>
          <w:sz w:val="16"/>
          <w:szCs w:val="16"/>
          <w:lang w:val="en-GB"/>
        </w:rPr>
        <w:t>Aligning Development Cooperation and Climate-Action: The only way forward</w:t>
      </w:r>
      <w:r w:rsidRPr="007F0356">
        <w:rPr>
          <w:rFonts w:asciiTheme="majorHAnsi" w:hAnsiTheme="majorHAnsi" w:cstheme="minorHAnsi"/>
          <w:sz w:val="16"/>
          <w:szCs w:val="16"/>
          <w:lang w:val="en-GB"/>
        </w:rPr>
        <w:t>, OECD 2019, p. 13</w:t>
      </w:r>
    </w:p>
  </w:footnote>
  <w:footnote w:id="13">
    <w:p w14:paraId="1E0BE865" w14:textId="520CDF29" w:rsidR="003765C1" w:rsidRPr="007F0356" w:rsidRDefault="003765C1">
      <w:pPr>
        <w:pStyle w:val="FootnoteText"/>
        <w:rPr>
          <w:rFonts w:asciiTheme="majorHAnsi" w:hAnsiTheme="majorHAnsi"/>
          <w:sz w:val="16"/>
          <w:szCs w:val="16"/>
          <w:lang w:val="en-GB"/>
        </w:rPr>
      </w:pPr>
      <w:r w:rsidRPr="007F0356">
        <w:rPr>
          <w:rStyle w:val="FootnoteReference"/>
          <w:rFonts w:asciiTheme="majorHAnsi" w:hAnsiTheme="majorHAnsi"/>
          <w:sz w:val="16"/>
          <w:szCs w:val="16"/>
        </w:rPr>
        <w:footnoteRef/>
      </w:r>
      <w:r w:rsidRPr="007F0356">
        <w:rPr>
          <w:rFonts w:asciiTheme="majorHAnsi" w:hAnsiTheme="majorHAnsi"/>
          <w:sz w:val="16"/>
          <w:szCs w:val="16"/>
          <w:lang w:val="en-GB"/>
        </w:rPr>
        <w:t xml:space="preserve"> Lopez Carbajal, A., Rojas Squella, X. And Watson C. (2021), </w:t>
      </w:r>
      <w:r w:rsidRPr="007F0356">
        <w:rPr>
          <w:rFonts w:asciiTheme="majorHAnsi" w:hAnsiTheme="majorHAnsi"/>
          <w:i/>
          <w:iCs/>
          <w:sz w:val="16"/>
          <w:szCs w:val="16"/>
          <w:lang w:val="en-GB"/>
        </w:rPr>
        <w:t>Consistency case study: actions supporting Article 2.1c of the Paris Agreement in Colombia</w:t>
      </w:r>
      <w:r w:rsidRPr="007F0356">
        <w:rPr>
          <w:rFonts w:asciiTheme="majorHAnsi" w:hAnsiTheme="majorHAnsi"/>
          <w:sz w:val="16"/>
          <w:szCs w:val="16"/>
          <w:lang w:val="en-GB"/>
        </w:rPr>
        <w:t xml:space="preserve">. Part of Climate-consistency of finance flows: iGST case study series. Retrieved from: </w:t>
      </w:r>
      <w:hyperlink r:id="rId2" w:history="1">
        <w:r w:rsidRPr="007F0356">
          <w:rPr>
            <w:rStyle w:val="Hyperlink"/>
            <w:rFonts w:asciiTheme="majorHAnsi" w:hAnsiTheme="majorHAnsi"/>
            <w:sz w:val="16"/>
            <w:szCs w:val="16"/>
            <w:lang w:val="en-GB"/>
          </w:rPr>
          <w:t>https://www.climateworks.org/wp-content/uploads/2021/03/iGST_21c_Case_Study_Colombia.pdf</w:t>
        </w:r>
      </w:hyperlink>
      <w:r w:rsidRPr="007F0356">
        <w:rPr>
          <w:rFonts w:asciiTheme="majorHAnsi" w:hAnsiTheme="majorHAnsi"/>
          <w:sz w:val="16"/>
          <w:szCs w:val="16"/>
          <w:lang w:val="en-GB"/>
        </w:rPr>
        <w:t xml:space="preserve">  </w:t>
      </w:r>
    </w:p>
  </w:footnote>
  <w:footnote w:id="14">
    <w:p w14:paraId="40790560" w14:textId="4DDDE22D" w:rsidR="003765C1" w:rsidRPr="003765C1" w:rsidRDefault="003765C1">
      <w:pPr>
        <w:pStyle w:val="FootnoteText"/>
        <w:rPr>
          <w:lang w:val="en-GB"/>
        </w:rPr>
      </w:pPr>
      <w:r w:rsidRPr="007F0356">
        <w:rPr>
          <w:rStyle w:val="FootnoteReference"/>
          <w:rFonts w:asciiTheme="majorHAnsi" w:hAnsiTheme="majorHAnsi"/>
          <w:sz w:val="16"/>
          <w:szCs w:val="16"/>
        </w:rPr>
        <w:footnoteRef/>
      </w:r>
      <w:r w:rsidRPr="007F0356">
        <w:rPr>
          <w:rFonts w:asciiTheme="majorHAnsi" w:hAnsiTheme="majorHAnsi"/>
          <w:sz w:val="16"/>
          <w:szCs w:val="16"/>
          <w:lang w:val="en-GB"/>
        </w:rPr>
        <w:t xml:space="preserve"> </w:t>
      </w:r>
      <w:r w:rsidRPr="007F0356">
        <w:rPr>
          <w:rFonts w:asciiTheme="majorHAnsi" w:hAnsiTheme="majorHAnsi" w:cstheme="minorHAnsi"/>
          <w:color w:val="000000" w:themeColor="text1"/>
          <w:sz w:val="16"/>
          <w:szCs w:val="16"/>
          <w:lang w:val="en-GB"/>
        </w:rPr>
        <w:t xml:space="preserve">Shelagh Whitley, Joe Thwaites, Helena Wright and Caroline Ott, </w:t>
      </w:r>
      <w:r w:rsidRPr="007F0356">
        <w:rPr>
          <w:rFonts w:asciiTheme="majorHAnsi" w:hAnsiTheme="majorHAnsi" w:cstheme="minorHAnsi"/>
          <w:i/>
          <w:iCs/>
          <w:color w:val="000000" w:themeColor="text1"/>
          <w:sz w:val="16"/>
          <w:szCs w:val="16"/>
          <w:lang w:val="en-GB"/>
        </w:rPr>
        <w:t>Making finance consistent with climate goals…</w:t>
      </w:r>
      <w:r w:rsidRPr="007F0356">
        <w:rPr>
          <w:rFonts w:asciiTheme="majorHAnsi" w:hAnsiTheme="majorHAnsi" w:cstheme="minorHAnsi"/>
          <w:color w:val="000000" w:themeColor="text1"/>
          <w:sz w:val="16"/>
          <w:szCs w:val="16"/>
          <w:lang w:val="en-GB"/>
        </w:rPr>
        <w:t>, p. 8</w:t>
      </w:r>
    </w:p>
  </w:footnote>
  <w:footnote w:id="15">
    <w:p w14:paraId="744D5EF1" w14:textId="77777777" w:rsidR="00592800" w:rsidRPr="007F0356" w:rsidRDefault="00592800" w:rsidP="00592800">
      <w:pPr>
        <w:pStyle w:val="FootnoteText"/>
        <w:rPr>
          <w:rFonts w:asciiTheme="majorHAnsi" w:hAnsiTheme="majorHAnsi"/>
          <w:sz w:val="16"/>
          <w:szCs w:val="16"/>
          <w:lang w:val="en-GB"/>
        </w:rPr>
      </w:pPr>
      <w:r w:rsidRPr="007F0356">
        <w:rPr>
          <w:rStyle w:val="FootnoteReference"/>
          <w:rFonts w:asciiTheme="majorHAnsi" w:hAnsiTheme="majorHAnsi"/>
          <w:sz w:val="16"/>
          <w:szCs w:val="16"/>
        </w:rPr>
        <w:footnoteRef/>
      </w:r>
      <w:r w:rsidRPr="007F0356">
        <w:rPr>
          <w:rFonts w:asciiTheme="majorHAnsi" w:hAnsiTheme="majorHAnsi"/>
          <w:sz w:val="16"/>
          <w:szCs w:val="16"/>
          <w:lang w:val="en-GB"/>
        </w:rPr>
        <w:t xml:space="preserve"> Lopez Carbajal, A., Rojas Squella, X. And Watson C. (2021), </w:t>
      </w:r>
      <w:r w:rsidRPr="007F0356">
        <w:rPr>
          <w:rFonts w:asciiTheme="majorHAnsi" w:hAnsiTheme="majorHAnsi"/>
          <w:i/>
          <w:iCs/>
          <w:sz w:val="16"/>
          <w:szCs w:val="16"/>
          <w:lang w:val="en-GB"/>
        </w:rPr>
        <w:t>Consistency case study: actions supporting Article 2.1c of the Paris Agreement in Colombia</w:t>
      </w:r>
      <w:r w:rsidRPr="007F0356">
        <w:rPr>
          <w:rFonts w:asciiTheme="majorHAnsi" w:hAnsiTheme="majorHAnsi"/>
          <w:sz w:val="16"/>
          <w:szCs w:val="16"/>
          <w:lang w:val="en-GB"/>
        </w:rPr>
        <w:t xml:space="preserve">. Part of Climate-consistency of finance flows: iGST case study series. Retrieved from: </w:t>
      </w:r>
      <w:hyperlink r:id="rId3" w:history="1">
        <w:r w:rsidRPr="007F0356">
          <w:rPr>
            <w:rStyle w:val="Hyperlink"/>
            <w:rFonts w:asciiTheme="majorHAnsi" w:hAnsiTheme="majorHAnsi"/>
            <w:sz w:val="16"/>
            <w:szCs w:val="16"/>
            <w:lang w:val="en-GB"/>
          </w:rPr>
          <w:t>https://www.climateworks.org/wp-content/uploads/2021/03/iGST_21c_Case_Study_Colombia.pdf</w:t>
        </w:r>
      </w:hyperlink>
      <w:r w:rsidRPr="007F0356">
        <w:rPr>
          <w:rFonts w:asciiTheme="majorHAnsi" w:hAnsiTheme="majorHAnsi"/>
          <w:sz w:val="16"/>
          <w:szCs w:val="16"/>
          <w:lang w:val="en-GB"/>
        </w:rPr>
        <w:t xml:space="preserve">  </w:t>
      </w:r>
    </w:p>
  </w:footnote>
  <w:footnote w:id="16">
    <w:p w14:paraId="2F6B2482" w14:textId="77777777" w:rsidR="00283B06" w:rsidRPr="007F0356" w:rsidRDefault="00283B06" w:rsidP="00283B06">
      <w:pPr>
        <w:pStyle w:val="FootnoteText"/>
        <w:rPr>
          <w:rFonts w:asciiTheme="majorHAnsi" w:hAnsiTheme="majorHAnsi"/>
          <w:sz w:val="16"/>
          <w:szCs w:val="16"/>
          <w:lang w:val="en-GB"/>
        </w:rPr>
      </w:pPr>
      <w:r w:rsidRPr="007F0356">
        <w:rPr>
          <w:rStyle w:val="FootnoteReference"/>
          <w:rFonts w:asciiTheme="majorHAnsi" w:hAnsiTheme="majorHAnsi"/>
          <w:sz w:val="16"/>
          <w:szCs w:val="16"/>
        </w:rPr>
        <w:footnoteRef/>
      </w:r>
      <w:r w:rsidRPr="007F0356">
        <w:rPr>
          <w:rFonts w:asciiTheme="majorHAnsi" w:hAnsiTheme="majorHAnsi"/>
          <w:sz w:val="16"/>
          <w:szCs w:val="16"/>
          <w:lang w:val="en-GB"/>
        </w:rPr>
        <w:t xml:space="preserve"> </w:t>
      </w:r>
      <w:r w:rsidRPr="007F0356">
        <w:rPr>
          <w:rFonts w:asciiTheme="majorHAnsi" w:hAnsiTheme="majorHAnsi" w:cstheme="minorHAnsi"/>
          <w:color w:val="000000" w:themeColor="text1"/>
          <w:sz w:val="16"/>
          <w:szCs w:val="16"/>
          <w:lang w:val="en-GB"/>
        </w:rPr>
        <w:t xml:space="preserve">Shelagh Whitley, Joe Thwaites, Helena Wright and Caroline Ott, </w:t>
      </w:r>
      <w:r w:rsidRPr="007F0356">
        <w:rPr>
          <w:rFonts w:asciiTheme="majorHAnsi" w:hAnsiTheme="majorHAnsi" w:cstheme="minorHAnsi"/>
          <w:i/>
          <w:iCs/>
          <w:color w:val="000000" w:themeColor="text1"/>
          <w:sz w:val="16"/>
          <w:szCs w:val="16"/>
          <w:lang w:val="en-GB"/>
        </w:rPr>
        <w:t>Making finance consistent with climate goals…</w:t>
      </w:r>
      <w:r w:rsidRPr="007F0356">
        <w:rPr>
          <w:rFonts w:asciiTheme="majorHAnsi" w:hAnsiTheme="majorHAnsi" w:cstheme="minorHAnsi"/>
          <w:color w:val="000000" w:themeColor="text1"/>
          <w:sz w:val="16"/>
          <w:szCs w:val="16"/>
          <w:lang w:val="en-GB"/>
        </w:rPr>
        <w:t>, p. 8</w:t>
      </w:r>
    </w:p>
  </w:footnote>
  <w:footnote w:id="17">
    <w:p w14:paraId="3C6464DF" w14:textId="77777777" w:rsidR="00283B06" w:rsidRPr="00206EAB" w:rsidRDefault="00283B06" w:rsidP="00283B06">
      <w:pPr>
        <w:pStyle w:val="FootnoteText"/>
        <w:rPr>
          <w:sz w:val="16"/>
          <w:szCs w:val="16"/>
          <w:lang w:val="en-GB"/>
        </w:rPr>
      </w:pPr>
      <w:r w:rsidRPr="007F0356">
        <w:rPr>
          <w:rStyle w:val="FootnoteReference"/>
          <w:rFonts w:asciiTheme="majorHAnsi" w:hAnsiTheme="majorHAnsi"/>
          <w:sz w:val="16"/>
          <w:szCs w:val="16"/>
        </w:rPr>
        <w:footnoteRef/>
      </w:r>
      <w:r w:rsidRPr="007F0356">
        <w:rPr>
          <w:rFonts w:asciiTheme="majorHAnsi" w:hAnsiTheme="majorHAnsi"/>
          <w:sz w:val="16"/>
          <w:szCs w:val="16"/>
          <w:lang w:val="en-GB"/>
        </w:rPr>
        <w:t xml:space="preserve"> </w:t>
      </w:r>
      <w:r w:rsidRPr="007F0356">
        <w:rPr>
          <w:rFonts w:asciiTheme="majorHAnsi" w:hAnsiTheme="majorHAnsi"/>
          <w:i/>
          <w:iCs/>
          <w:sz w:val="16"/>
          <w:szCs w:val="16"/>
          <w:lang w:val="en-GB"/>
        </w:rPr>
        <w:t>Idem</w:t>
      </w:r>
    </w:p>
  </w:footnote>
  <w:footnote w:id="18">
    <w:p w14:paraId="727E8A16"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Alignment means ensuring that development pathways are low-emissions and climate-resilient and as a result, sustainable in the face of the multi-layered challenges that developing countries now face. In OECD, </w:t>
      </w:r>
      <w:r w:rsidRPr="007F0356">
        <w:rPr>
          <w:rFonts w:asciiTheme="majorHAnsi" w:hAnsiTheme="majorHAnsi" w:cstheme="minorHAnsi"/>
          <w:i/>
          <w:sz w:val="16"/>
          <w:szCs w:val="16"/>
          <w:lang w:val="en-GB"/>
        </w:rPr>
        <w:t>Aligning Development Cooperation …</w:t>
      </w:r>
      <w:r w:rsidRPr="007F0356">
        <w:rPr>
          <w:rFonts w:asciiTheme="majorHAnsi" w:hAnsiTheme="majorHAnsi" w:cstheme="minorHAnsi"/>
          <w:sz w:val="16"/>
          <w:szCs w:val="16"/>
          <w:lang w:val="en-GB"/>
        </w:rPr>
        <w:t>, p. 19</w:t>
      </w:r>
    </w:p>
  </w:footnote>
  <w:footnote w:id="19">
    <w:p w14:paraId="7B846E57"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Task Force for Climate-Related Financial Disclosures (TCFD), </w:t>
      </w:r>
      <w:r w:rsidRPr="007F0356">
        <w:rPr>
          <w:rFonts w:asciiTheme="majorHAnsi" w:hAnsiTheme="majorHAnsi" w:cstheme="minorHAnsi"/>
          <w:i/>
          <w:sz w:val="16"/>
          <w:szCs w:val="16"/>
          <w:lang w:val="en-GB"/>
        </w:rPr>
        <w:t>Final Report, Recommendations of the Task Force for Climate-Related Financial Disclosures</w:t>
      </w:r>
      <w:r w:rsidRPr="007F0356">
        <w:rPr>
          <w:rFonts w:asciiTheme="majorHAnsi" w:hAnsiTheme="majorHAnsi" w:cstheme="minorHAnsi"/>
          <w:sz w:val="16"/>
          <w:szCs w:val="16"/>
          <w:lang w:val="en-GB"/>
        </w:rPr>
        <w:t>, June 2017, p. v It is to be noted, however, that the recent 2021 guidance of the TCFD does not cover adaptation and resilience</w:t>
      </w:r>
    </w:p>
  </w:footnote>
  <w:footnote w:id="20">
    <w:p w14:paraId="228A05A8"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IMF, </w:t>
      </w:r>
      <w:r w:rsidRPr="007F0356">
        <w:rPr>
          <w:rFonts w:asciiTheme="majorHAnsi" w:hAnsiTheme="majorHAnsi" w:cstheme="minorHAnsi"/>
          <w:i/>
          <w:sz w:val="16"/>
          <w:szCs w:val="16"/>
          <w:lang w:val="en-GB"/>
        </w:rPr>
        <w:t>Fiscal Policies</w:t>
      </w:r>
      <w:r w:rsidRPr="007F0356">
        <w:rPr>
          <w:rFonts w:asciiTheme="majorHAnsi" w:hAnsiTheme="majorHAnsi" w:cstheme="minorHAnsi"/>
          <w:sz w:val="16"/>
          <w:szCs w:val="16"/>
          <w:lang w:val="en-GB"/>
        </w:rPr>
        <w:t>…, p. 18</w:t>
      </w:r>
    </w:p>
  </w:footnote>
  <w:footnote w:id="21">
    <w:p w14:paraId="2407AFDC" w14:textId="77777777" w:rsidR="00283B06" w:rsidRPr="00604C24" w:rsidRDefault="00283B06" w:rsidP="00283B06">
      <w:pPr>
        <w:pStyle w:val="FootnoteText"/>
        <w:rPr>
          <w:rFonts w:asciiTheme="minorHAnsi" w:hAnsiTheme="min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The Coalition of Finance Ministries for Climate Action, </w:t>
      </w:r>
      <w:r w:rsidRPr="007F0356">
        <w:rPr>
          <w:rFonts w:asciiTheme="majorHAnsi" w:hAnsiTheme="majorHAnsi" w:cstheme="minorHAnsi"/>
          <w:i/>
          <w:iCs/>
          <w:sz w:val="16"/>
          <w:szCs w:val="16"/>
          <w:lang w:val="en-GB"/>
        </w:rPr>
        <w:t>Helsinki Principles</w:t>
      </w:r>
      <w:r w:rsidRPr="007F0356">
        <w:rPr>
          <w:rFonts w:asciiTheme="majorHAnsi" w:hAnsiTheme="majorHAnsi" w:cstheme="minorHAnsi"/>
          <w:sz w:val="16"/>
          <w:szCs w:val="16"/>
          <w:lang w:val="en-GB"/>
        </w:rPr>
        <w:t xml:space="preserve">, retrieved from: </w:t>
      </w:r>
      <w:hyperlink r:id="rId4" w:history="1">
        <w:r w:rsidRPr="007F0356">
          <w:rPr>
            <w:rStyle w:val="Hyperlink"/>
            <w:rFonts w:asciiTheme="majorHAnsi" w:hAnsiTheme="majorHAnsi" w:cstheme="minorHAnsi"/>
            <w:sz w:val="16"/>
            <w:szCs w:val="16"/>
            <w:lang w:val="en-GB"/>
          </w:rPr>
          <w:t>http://pubdocs.worldbank.org/en/600041555089009395/FM-Coalition-Principles-final-v3.pdf</w:t>
        </w:r>
      </w:hyperlink>
      <w:r>
        <w:rPr>
          <w:rFonts w:asciiTheme="minorHAnsi" w:hAnsiTheme="minorHAnsi" w:cstheme="minorHAnsi"/>
          <w:sz w:val="16"/>
          <w:szCs w:val="16"/>
          <w:lang w:val="en-GB"/>
        </w:rPr>
        <w:t xml:space="preserve"> </w:t>
      </w:r>
    </w:p>
  </w:footnote>
  <w:footnote w:id="22">
    <w:p w14:paraId="55F25CBE" w14:textId="77777777" w:rsidR="00283B06" w:rsidRPr="00604C24" w:rsidRDefault="00283B06" w:rsidP="00283B06">
      <w:pPr>
        <w:pStyle w:val="FootnoteText"/>
        <w:rPr>
          <w:rFonts w:asciiTheme="minorHAnsi" w:hAnsiTheme="minorHAnsi" w:cstheme="minorHAnsi"/>
          <w:sz w:val="16"/>
          <w:szCs w:val="16"/>
          <w:lang w:val="en-GB"/>
        </w:rPr>
      </w:pPr>
      <w:r w:rsidRPr="0049685D">
        <w:rPr>
          <w:rStyle w:val="FootnoteReference"/>
          <w:rFonts w:asciiTheme="minorHAnsi" w:hAnsiTheme="minorHAnsi" w:cstheme="minorHAnsi"/>
          <w:sz w:val="16"/>
          <w:szCs w:val="16"/>
        </w:rPr>
        <w:footnoteRef/>
      </w:r>
      <w:r w:rsidRPr="00604C24">
        <w:rPr>
          <w:rFonts w:asciiTheme="minorHAnsi" w:hAnsiTheme="minorHAnsi" w:cstheme="minorHAnsi"/>
          <w:sz w:val="16"/>
          <w:szCs w:val="16"/>
          <w:lang w:val="en-GB"/>
        </w:rPr>
        <w:t xml:space="preserve"> </w:t>
      </w:r>
      <w:r w:rsidRPr="00604C24">
        <w:rPr>
          <w:rFonts w:asciiTheme="minorHAnsi" w:hAnsiTheme="minorHAnsi" w:cstheme="minorHAnsi"/>
          <w:i/>
          <w:iCs/>
          <w:sz w:val="16"/>
          <w:szCs w:val="16"/>
          <w:lang w:val="en-GB"/>
        </w:rPr>
        <w:t>Ibidem</w:t>
      </w:r>
    </w:p>
  </w:footnote>
  <w:footnote w:id="23">
    <w:p w14:paraId="4DDCCC59" w14:textId="77777777" w:rsidR="00283B06" w:rsidRPr="00305214" w:rsidRDefault="00283B06" w:rsidP="00283B06">
      <w:pPr>
        <w:pStyle w:val="FootnoteText"/>
        <w:rPr>
          <w:rFonts w:asciiTheme="majorHAnsi" w:hAnsiTheme="majorHAnsi" w:cstheme="minorHAnsi"/>
          <w:sz w:val="16"/>
          <w:szCs w:val="16"/>
          <w:lang w:val="en-GB"/>
        </w:rPr>
      </w:pPr>
      <w:r w:rsidRPr="00305214">
        <w:rPr>
          <w:rStyle w:val="FootnoteReference"/>
          <w:rFonts w:asciiTheme="majorHAnsi" w:hAnsiTheme="majorHAnsi" w:cstheme="minorHAnsi"/>
          <w:sz w:val="16"/>
          <w:szCs w:val="16"/>
        </w:rPr>
        <w:footnoteRef/>
      </w:r>
      <w:r w:rsidRPr="00305214">
        <w:rPr>
          <w:rFonts w:asciiTheme="majorHAnsi" w:hAnsiTheme="majorHAnsi" w:cstheme="minorHAnsi"/>
          <w:sz w:val="16"/>
          <w:szCs w:val="16"/>
          <w:lang w:val="en-GB"/>
        </w:rPr>
        <w:t xml:space="preserve"> UNEP Finance Initiative, </w:t>
      </w:r>
      <w:r w:rsidRPr="00305214">
        <w:rPr>
          <w:rFonts w:asciiTheme="majorHAnsi" w:hAnsiTheme="majorHAnsi" w:cstheme="minorHAnsi"/>
          <w:i/>
          <w:sz w:val="16"/>
          <w:szCs w:val="16"/>
          <w:lang w:val="en-GB"/>
        </w:rPr>
        <w:t>Extending our horizons</w:t>
      </w:r>
      <w:r w:rsidRPr="00305214">
        <w:rPr>
          <w:rFonts w:asciiTheme="majorHAnsi" w:hAnsiTheme="majorHAnsi" w:cstheme="minorHAnsi"/>
          <w:sz w:val="16"/>
          <w:szCs w:val="16"/>
          <w:lang w:val="en-GB"/>
        </w:rPr>
        <w:t>, UNEP, p. 66</w:t>
      </w:r>
    </w:p>
  </w:footnote>
  <w:footnote w:id="24">
    <w:p w14:paraId="2A985EAE" w14:textId="77777777" w:rsidR="00283B06" w:rsidRPr="00305214" w:rsidRDefault="00283B06" w:rsidP="00283B06">
      <w:pPr>
        <w:pStyle w:val="FootnoteText"/>
        <w:rPr>
          <w:rFonts w:asciiTheme="majorHAnsi" w:hAnsiTheme="majorHAnsi" w:cstheme="minorHAnsi"/>
          <w:sz w:val="16"/>
          <w:szCs w:val="16"/>
          <w:lang w:val="en-GB"/>
        </w:rPr>
      </w:pPr>
      <w:r w:rsidRPr="00305214">
        <w:rPr>
          <w:rStyle w:val="FootnoteReference"/>
          <w:rFonts w:asciiTheme="majorHAnsi" w:hAnsiTheme="majorHAnsi" w:cstheme="minorHAnsi"/>
          <w:sz w:val="16"/>
          <w:szCs w:val="16"/>
        </w:rPr>
        <w:footnoteRef/>
      </w:r>
      <w:r w:rsidRPr="00305214">
        <w:rPr>
          <w:rFonts w:asciiTheme="majorHAnsi" w:hAnsiTheme="majorHAnsi" w:cstheme="minorHAnsi"/>
          <w:sz w:val="16"/>
          <w:szCs w:val="16"/>
          <w:lang w:val="en-GB"/>
        </w:rPr>
        <w:t xml:space="preserve"> IMF, </w:t>
      </w:r>
      <w:r w:rsidRPr="00305214">
        <w:rPr>
          <w:rFonts w:asciiTheme="majorHAnsi" w:hAnsiTheme="majorHAnsi" w:cstheme="minorHAnsi"/>
          <w:i/>
          <w:sz w:val="16"/>
          <w:szCs w:val="16"/>
          <w:lang w:val="en-GB"/>
        </w:rPr>
        <w:t>Fiscal Policies for …</w:t>
      </w:r>
      <w:r w:rsidRPr="00305214">
        <w:rPr>
          <w:rFonts w:asciiTheme="majorHAnsi" w:hAnsiTheme="majorHAnsi" w:cstheme="minorHAnsi"/>
          <w:sz w:val="16"/>
          <w:szCs w:val="16"/>
          <w:lang w:val="en-GB"/>
        </w:rPr>
        <w:t>, p.18</w:t>
      </w:r>
    </w:p>
  </w:footnote>
  <w:footnote w:id="25">
    <w:p w14:paraId="327505B7" w14:textId="77777777" w:rsidR="00283B06" w:rsidRPr="00305214" w:rsidRDefault="00283B06" w:rsidP="00283B06">
      <w:pPr>
        <w:pStyle w:val="FootnoteText"/>
        <w:rPr>
          <w:rFonts w:asciiTheme="majorHAnsi" w:hAnsiTheme="majorHAnsi" w:cstheme="minorHAnsi"/>
          <w:sz w:val="16"/>
          <w:szCs w:val="16"/>
          <w:lang w:val="en-GB"/>
        </w:rPr>
      </w:pPr>
      <w:r w:rsidRPr="00305214">
        <w:rPr>
          <w:rStyle w:val="FootnoteReference"/>
          <w:rFonts w:asciiTheme="majorHAnsi" w:hAnsiTheme="majorHAnsi" w:cstheme="minorHAnsi"/>
          <w:sz w:val="16"/>
          <w:szCs w:val="16"/>
        </w:rPr>
        <w:footnoteRef/>
      </w:r>
      <w:r w:rsidRPr="00305214">
        <w:rPr>
          <w:rFonts w:asciiTheme="majorHAnsi" w:hAnsiTheme="majorHAnsi" w:cstheme="minorHAnsi"/>
          <w:sz w:val="16"/>
          <w:szCs w:val="16"/>
          <w:lang w:val="en-GB"/>
        </w:rPr>
        <w:t xml:space="preserve"> </w:t>
      </w:r>
      <w:r w:rsidRPr="00305214">
        <w:rPr>
          <w:rFonts w:asciiTheme="majorHAnsi" w:hAnsiTheme="majorHAnsi" w:cstheme="minorHAnsi"/>
          <w:i/>
          <w:sz w:val="16"/>
          <w:szCs w:val="16"/>
          <w:lang w:val="en-GB"/>
        </w:rPr>
        <w:t>Ibidem</w:t>
      </w:r>
      <w:r w:rsidRPr="00305214">
        <w:rPr>
          <w:rFonts w:asciiTheme="majorHAnsi" w:hAnsiTheme="majorHAnsi" w:cstheme="minorHAnsi"/>
          <w:sz w:val="16"/>
          <w:szCs w:val="16"/>
          <w:lang w:val="en-GB"/>
        </w:rPr>
        <w:t>, pp 38, 39</w:t>
      </w:r>
    </w:p>
  </w:footnote>
  <w:footnote w:id="26">
    <w:p w14:paraId="4E69026A" w14:textId="77777777" w:rsidR="00283B06" w:rsidRPr="00305214" w:rsidRDefault="00283B06" w:rsidP="00283B06">
      <w:pPr>
        <w:pStyle w:val="FootnoteText"/>
        <w:rPr>
          <w:rFonts w:asciiTheme="majorHAnsi" w:hAnsiTheme="majorHAnsi" w:cstheme="minorHAnsi"/>
          <w:sz w:val="16"/>
          <w:szCs w:val="16"/>
          <w:lang w:val="en-GB"/>
        </w:rPr>
      </w:pPr>
      <w:r w:rsidRPr="00305214">
        <w:rPr>
          <w:rStyle w:val="FootnoteReference"/>
          <w:rFonts w:asciiTheme="majorHAnsi" w:hAnsiTheme="majorHAnsi" w:cstheme="minorHAnsi"/>
          <w:sz w:val="16"/>
          <w:szCs w:val="16"/>
        </w:rPr>
        <w:footnoteRef/>
      </w:r>
      <w:r w:rsidRPr="00305214">
        <w:rPr>
          <w:rFonts w:asciiTheme="majorHAnsi" w:hAnsiTheme="majorHAnsi" w:cstheme="minorHAnsi"/>
          <w:sz w:val="16"/>
          <w:szCs w:val="16"/>
          <w:lang w:val="en-GB"/>
        </w:rPr>
        <w:t xml:space="preserve"> The Coalition of Finance Ministries for climate Action… </w:t>
      </w:r>
    </w:p>
  </w:footnote>
  <w:footnote w:id="27">
    <w:p w14:paraId="2D8E7A8B" w14:textId="77777777" w:rsidR="00283B06" w:rsidRPr="00305214" w:rsidRDefault="00283B06" w:rsidP="00283B06">
      <w:pPr>
        <w:pStyle w:val="FootnoteText"/>
        <w:rPr>
          <w:rFonts w:asciiTheme="majorHAnsi" w:hAnsiTheme="majorHAnsi" w:cstheme="minorHAnsi"/>
          <w:sz w:val="16"/>
          <w:szCs w:val="16"/>
          <w:lang w:val="en-GB"/>
        </w:rPr>
      </w:pPr>
      <w:r w:rsidRPr="00305214">
        <w:rPr>
          <w:rStyle w:val="FootnoteReference"/>
          <w:rFonts w:asciiTheme="majorHAnsi" w:hAnsiTheme="majorHAnsi" w:cstheme="minorHAnsi"/>
          <w:sz w:val="16"/>
          <w:szCs w:val="16"/>
        </w:rPr>
        <w:footnoteRef/>
      </w:r>
      <w:r w:rsidRPr="00305214">
        <w:rPr>
          <w:rFonts w:asciiTheme="majorHAnsi" w:hAnsiTheme="majorHAnsi" w:cstheme="minorHAnsi"/>
          <w:sz w:val="16"/>
          <w:szCs w:val="16"/>
          <w:lang w:val="en-GB"/>
        </w:rPr>
        <w:t xml:space="preserve"> </w:t>
      </w:r>
      <w:r w:rsidRPr="00305214">
        <w:rPr>
          <w:rFonts w:asciiTheme="majorHAnsi" w:hAnsiTheme="majorHAnsi" w:cstheme="minorHAnsi"/>
          <w:sz w:val="16"/>
          <w:szCs w:val="16"/>
          <w:lang w:val="en-US"/>
        </w:rPr>
        <w:t xml:space="preserve">OECD, UNEP, WBG, </w:t>
      </w:r>
      <w:r w:rsidRPr="00305214">
        <w:rPr>
          <w:rFonts w:asciiTheme="majorHAnsi" w:hAnsiTheme="majorHAnsi" w:cstheme="minorHAnsi"/>
          <w:i/>
          <w:sz w:val="16"/>
          <w:szCs w:val="16"/>
          <w:lang w:val="en-US"/>
        </w:rPr>
        <w:t>Financing climate futures…</w:t>
      </w:r>
      <w:r w:rsidRPr="00305214">
        <w:rPr>
          <w:rFonts w:asciiTheme="majorHAnsi" w:hAnsiTheme="majorHAnsi" w:cstheme="minorHAnsi"/>
          <w:sz w:val="16"/>
          <w:szCs w:val="16"/>
          <w:lang w:val="en-GB"/>
        </w:rPr>
        <w:t>, p. 106</w:t>
      </w:r>
    </w:p>
  </w:footnote>
  <w:footnote w:id="28">
    <w:p w14:paraId="4DFFFEC3" w14:textId="77777777" w:rsidR="00283B06" w:rsidRPr="00305214" w:rsidRDefault="00283B06" w:rsidP="00283B06">
      <w:pPr>
        <w:pStyle w:val="FootnoteText"/>
        <w:rPr>
          <w:rFonts w:asciiTheme="majorHAnsi" w:hAnsiTheme="majorHAnsi" w:cstheme="minorHAnsi"/>
          <w:sz w:val="16"/>
          <w:szCs w:val="16"/>
          <w:lang w:val="en-GB"/>
        </w:rPr>
      </w:pPr>
      <w:r w:rsidRPr="00305214">
        <w:rPr>
          <w:rStyle w:val="FootnoteReference"/>
          <w:rFonts w:asciiTheme="majorHAnsi" w:hAnsiTheme="majorHAnsi" w:cstheme="minorHAnsi"/>
          <w:sz w:val="16"/>
          <w:szCs w:val="16"/>
        </w:rPr>
        <w:footnoteRef/>
      </w:r>
      <w:r w:rsidRPr="00305214">
        <w:rPr>
          <w:rFonts w:asciiTheme="majorHAnsi" w:hAnsiTheme="majorHAnsi" w:cstheme="minorHAnsi"/>
          <w:sz w:val="16"/>
          <w:szCs w:val="16"/>
          <w:lang w:val="en-GB"/>
        </w:rPr>
        <w:t xml:space="preserve"> ILO, </w:t>
      </w:r>
      <w:r w:rsidRPr="00305214">
        <w:rPr>
          <w:rFonts w:asciiTheme="majorHAnsi" w:hAnsiTheme="majorHAnsi" w:cstheme="minorHAnsi"/>
          <w:i/>
          <w:sz w:val="16"/>
          <w:szCs w:val="16"/>
          <w:lang w:val="en-GB"/>
        </w:rPr>
        <w:t>Guidelines for a Just Transition towards environmentally sustainable economies and societies for all</w:t>
      </w:r>
      <w:r w:rsidRPr="00305214">
        <w:rPr>
          <w:rFonts w:asciiTheme="majorHAnsi" w:hAnsiTheme="majorHAnsi" w:cstheme="minorHAnsi"/>
          <w:sz w:val="16"/>
          <w:szCs w:val="16"/>
          <w:lang w:val="en-GB"/>
        </w:rPr>
        <w:t>, 2015, p. 6</w:t>
      </w:r>
    </w:p>
  </w:footnote>
  <w:footnote w:id="29">
    <w:p w14:paraId="70DD57A1" w14:textId="77777777" w:rsidR="00283B06" w:rsidRPr="007F0356" w:rsidRDefault="00283B06" w:rsidP="00283B06">
      <w:pPr>
        <w:widowControl w:val="0"/>
        <w:autoSpaceDE w:val="0"/>
        <w:autoSpaceDN w:val="0"/>
        <w:adjustRightInd w:val="0"/>
        <w:spacing w:after="0" w:line="240" w:lineRule="auto"/>
        <w:rPr>
          <w:rFonts w:asciiTheme="majorHAnsi" w:hAnsiTheme="majorHAnsi" w:cstheme="minorHAnsi"/>
          <w:sz w:val="16"/>
          <w:szCs w:val="16"/>
          <w:lang w:val="en-US"/>
        </w:rPr>
      </w:pPr>
      <w:r w:rsidRPr="00305214">
        <w:rPr>
          <w:rStyle w:val="FootnoteReference"/>
          <w:rFonts w:asciiTheme="majorHAnsi" w:hAnsiTheme="majorHAnsi" w:cstheme="minorHAnsi"/>
          <w:sz w:val="16"/>
          <w:szCs w:val="16"/>
        </w:rPr>
        <w:footnoteRef/>
      </w:r>
      <w:r w:rsidRPr="00305214">
        <w:rPr>
          <w:rFonts w:asciiTheme="majorHAnsi" w:hAnsiTheme="majorHAnsi" w:cstheme="minorHAnsi"/>
          <w:sz w:val="16"/>
          <w:szCs w:val="16"/>
          <w:lang w:val="en-AU"/>
        </w:rPr>
        <w:t xml:space="preserve"> The Preamble of the Paris Agreement underlines that “the imperatives of a just transition of the workforce and the creation of decent work and quality of jobs in accordance with nationally defined development priorities” are to be taken into account on its implementation. Also, the International Labour Organisation provides guidance on a </w:t>
      </w:r>
      <w:r w:rsidRPr="00305214">
        <w:rPr>
          <w:rFonts w:asciiTheme="majorHAnsi" w:hAnsiTheme="majorHAnsi" w:cstheme="minorHAnsi"/>
          <w:b/>
          <w:sz w:val="16"/>
          <w:szCs w:val="16"/>
          <w:lang w:val="en-AU"/>
        </w:rPr>
        <w:t>just transition</w:t>
      </w:r>
      <w:r w:rsidRPr="00305214">
        <w:rPr>
          <w:rFonts w:asciiTheme="majorHAnsi" w:hAnsiTheme="majorHAnsi" w:cstheme="minorHAnsi"/>
          <w:sz w:val="16"/>
          <w:szCs w:val="16"/>
          <w:lang w:val="en-AU"/>
        </w:rPr>
        <w:t xml:space="preserve"> to environmentally sustainable economies and societies; signalling that </w:t>
      </w:r>
      <w:r w:rsidRPr="00305214">
        <w:rPr>
          <w:rFonts w:asciiTheme="majorHAnsi" w:hAnsiTheme="majorHAnsi" w:cstheme="minorHAnsi"/>
          <w:sz w:val="16"/>
          <w:szCs w:val="16"/>
          <w:lang w:val="en-US"/>
        </w:rPr>
        <w:t>enabling a just transition will represent a series of major challenges including, among others: i) economic restructuring, resulting in the displacement of workers and possible job losses and job creation attributable to the greening of enterprises and workplaces; ii) the need for enterprises, workplaces and communities to adapt to climate change to avoid loss of assets and livelihoods and involuntary migration and iii) adverse effects on the incomes of poor households from higher energy and commodity prices; whilst if well managed, it may create potential opportunities in a) net gains in total employment from realizing the potential to create significant numbers of additional decent jobs through investments into environmentally sustainable production and consumption and management of natural resources; (b) improvements in job quality and incomes on a large scale from more productive processes, as well as greener products and services in sectors like agriculture, construction, recycling and tourism; (c) social inclusion through improved access to affordable, environmentally sustainable energy and payments for environmental services, for</w:t>
      </w:r>
      <w:r w:rsidRPr="0049685D">
        <w:rPr>
          <w:rFonts w:cstheme="minorHAnsi"/>
          <w:sz w:val="16"/>
          <w:szCs w:val="16"/>
          <w:lang w:val="en-US"/>
        </w:rPr>
        <w:t xml:space="preserve"> </w:t>
      </w:r>
      <w:r w:rsidRPr="007F0356">
        <w:rPr>
          <w:rFonts w:asciiTheme="majorHAnsi" w:hAnsiTheme="majorHAnsi" w:cstheme="minorHAnsi"/>
          <w:sz w:val="16"/>
          <w:szCs w:val="16"/>
          <w:lang w:val="en-US"/>
        </w:rPr>
        <w:t xml:space="preserve">instance, which are of particular relevance to women and residents in rural areas; in </w:t>
      </w:r>
      <w:r w:rsidRPr="007F0356">
        <w:rPr>
          <w:rFonts w:asciiTheme="majorHAnsi" w:hAnsiTheme="majorHAnsi" w:cstheme="minorHAnsi"/>
          <w:sz w:val="16"/>
          <w:szCs w:val="16"/>
          <w:lang w:val="en-GB"/>
        </w:rPr>
        <w:t xml:space="preserve">ILO, 2015, </w:t>
      </w:r>
      <w:r w:rsidRPr="007F0356">
        <w:rPr>
          <w:rFonts w:asciiTheme="majorHAnsi" w:hAnsiTheme="majorHAnsi" w:cstheme="minorHAnsi"/>
          <w:i/>
          <w:sz w:val="16"/>
          <w:szCs w:val="16"/>
          <w:lang w:val="en-GB"/>
        </w:rPr>
        <w:t>Guidelines for a Just Transition...</w:t>
      </w:r>
      <w:r w:rsidRPr="007F0356">
        <w:rPr>
          <w:rFonts w:asciiTheme="majorHAnsi" w:hAnsiTheme="majorHAnsi" w:cstheme="minorHAnsi"/>
          <w:sz w:val="16"/>
          <w:szCs w:val="16"/>
          <w:lang w:val="en-GB"/>
        </w:rPr>
        <w:t>, p. 5</w:t>
      </w:r>
      <w:r w:rsidRPr="007F0356">
        <w:rPr>
          <w:rFonts w:asciiTheme="majorHAnsi" w:hAnsiTheme="majorHAnsi" w:cstheme="minorHAnsi"/>
          <w:sz w:val="16"/>
          <w:szCs w:val="16"/>
          <w:lang w:val="en-US"/>
        </w:rPr>
        <w:t>.</w:t>
      </w:r>
    </w:p>
  </w:footnote>
  <w:footnote w:id="30">
    <w:p w14:paraId="76779EB1"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Just Transition Centre, </w:t>
      </w:r>
      <w:r w:rsidRPr="007F0356">
        <w:rPr>
          <w:rFonts w:asciiTheme="majorHAnsi" w:hAnsiTheme="majorHAnsi" w:cstheme="minorHAnsi"/>
          <w:i/>
          <w:sz w:val="16"/>
          <w:szCs w:val="16"/>
          <w:lang w:val="en-GB"/>
        </w:rPr>
        <w:t>Just Transition…</w:t>
      </w:r>
      <w:r w:rsidRPr="007F0356">
        <w:rPr>
          <w:rFonts w:asciiTheme="majorHAnsi" w:hAnsiTheme="majorHAnsi" w:cstheme="minorHAnsi"/>
          <w:sz w:val="16"/>
          <w:szCs w:val="16"/>
          <w:lang w:val="en-GB"/>
        </w:rPr>
        <w:t>, pp 17, 18</w:t>
      </w:r>
    </w:p>
  </w:footnote>
  <w:footnote w:id="31">
    <w:p w14:paraId="660FD905"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OECD, UNEP, WB, </w:t>
      </w:r>
      <w:r w:rsidRPr="007F0356">
        <w:rPr>
          <w:rFonts w:asciiTheme="majorHAnsi" w:hAnsiTheme="majorHAnsi" w:cstheme="minorHAnsi"/>
          <w:i/>
          <w:sz w:val="16"/>
          <w:szCs w:val="16"/>
          <w:lang w:val="en-GB"/>
        </w:rPr>
        <w:t>Financing climate futures…</w:t>
      </w:r>
      <w:r w:rsidRPr="007F0356">
        <w:rPr>
          <w:rFonts w:asciiTheme="majorHAnsi" w:hAnsiTheme="majorHAnsi" w:cstheme="minorHAnsi"/>
          <w:sz w:val="16"/>
          <w:szCs w:val="16"/>
          <w:lang w:val="en-GB"/>
        </w:rPr>
        <w:t>, pp 16, 117, 119, 120</w:t>
      </w:r>
    </w:p>
  </w:footnote>
  <w:footnote w:id="32">
    <w:p w14:paraId="0905843D"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w:t>
      </w:r>
      <w:r w:rsidRPr="007F0356">
        <w:rPr>
          <w:rFonts w:asciiTheme="majorHAnsi" w:hAnsiTheme="majorHAnsi" w:cstheme="minorHAnsi"/>
          <w:i/>
          <w:sz w:val="16"/>
          <w:szCs w:val="16"/>
          <w:lang w:val="en-GB"/>
        </w:rPr>
        <w:t>Ibidem</w:t>
      </w:r>
      <w:r w:rsidRPr="007F0356">
        <w:rPr>
          <w:rFonts w:asciiTheme="majorHAnsi" w:hAnsiTheme="majorHAnsi" w:cstheme="minorHAnsi"/>
          <w:sz w:val="16"/>
          <w:szCs w:val="16"/>
          <w:lang w:val="en-GB"/>
        </w:rPr>
        <w:t>, p. 105</w:t>
      </w:r>
    </w:p>
  </w:footnote>
  <w:footnote w:id="33">
    <w:p w14:paraId="33AECF75"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OECD, </w:t>
      </w:r>
      <w:r w:rsidRPr="007F0356">
        <w:rPr>
          <w:rFonts w:asciiTheme="majorHAnsi" w:hAnsiTheme="majorHAnsi" w:cstheme="minorHAnsi"/>
          <w:i/>
          <w:sz w:val="16"/>
          <w:szCs w:val="16"/>
          <w:lang w:val="en-GB"/>
        </w:rPr>
        <w:t>Aligning Development Cooperation …</w:t>
      </w:r>
      <w:r w:rsidRPr="007F0356">
        <w:rPr>
          <w:rFonts w:asciiTheme="majorHAnsi" w:hAnsiTheme="majorHAnsi" w:cstheme="minorHAnsi"/>
          <w:sz w:val="16"/>
          <w:szCs w:val="16"/>
          <w:lang w:val="en-GB"/>
        </w:rPr>
        <w:t>, p. 16</w:t>
      </w:r>
    </w:p>
  </w:footnote>
  <w:footnote w:id="34">
    <w:p w14:paraId="5459974A"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César Gabriel Espinosa García, </w:t>
      </w:r>
      <w:r w:rsidRPr="007F0356">
        <w:rPr>
          <w:rFonts w:asciiTheme="majorHAnsi" w:hAnsiTheme="majorHAnsi" w:cstheme="minorHAnsi"/>
          <w:i/>
          <w:sz w:val="16"/>
          <w:szCs w:val="16"/>
          <w:lang w:val="en-GB"/>
        </w:rPr>
        <w:t>Shadow Carbon Pricing and the role of development banks</w:t>
      </w:r>
      <w:r w:rsidRPr="007F0356">
        <w:rPr>
          <w:rFonts w:asciiTheme="majorHAnsi" w:hAnsiTheme="majorHAnsi" w:cstheme="minorHAnsi"/>
          <w:sz w:val="16"/>
          <w:szCs w:val="16"/>
          <w:lang w:val="en-GB"/>
        </w:rPr>
        <w:t>, LSE &amp; NAFIN, March 2018, p. 1, 2, 16</w:t>
      </w:r>
    </w:p>
  </w:footnote>
  <w:footnote w:id="35">
    <w:p w14:paraId="0C0DDF48"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OECD, UNEP, WB, </w:t>
      </w:r>
      <w:r w:rsidRPr="007F0356">
        <w:rPr>
          <w:rFonts w:asciiTheme="majorHAnsi" w:hAnsiTheme="majorHAnsi" w:cstheme="minorHAnsi"/>
          <w:i/>
          <w:sz w:val="16"/>
          <w:szCs w:val="16"/>
          <w:lang w:val="en-GB"/>
        </w:rPr>
        <w:t>Financing climate futures…</w:t>
      </w:r>
      <w:r w:rsidRPr="007F0356">
        <w:rPr>
          <w:rFonts w:asciiTheme="majorHAnsi" w:hAnsiTheme="majorHAnsi" w:cstheme="minorHAnsi"/>
          <w:sz w:val="16"/>
          <w:szCs w:val="16"/>
          <w:lang w:val="en-GB"/>
        </w:rPr>
        <w:t>, p. 16</w:t>
      </w:r>
    </w:p>
  </w:footnote>
  <w:footnote w:id="36">
    <w:p w14:paraId="0B3B8821"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w:t>
      </w:r>
      <w:r w:rsidRPr="007F0356">
        <w:rPr>
          <w:rFonts w:asciiTheme="majorHAnsi" w:hAnsiTheme="majorHAnsi" w:cstheme="minorHAnsi"/>
          <w:i/>
          <w:sz w:val="16"/>
          <w:szCs w:val="16"/>
          <w:lang w:val="en-GB"/>
        </w:rPr>
        <w:t>Ibidem</w:t>
      </w:r>
      <w:r w:rsidRPr="007F0356">
        <w:rPr>
          <w:rFonts w:asciiTheme="majorHAnsi" w:hAnsiTheme="majorHAnsi" w:cstheme="minorHAnsi"/>
          <w:sz w:val="16"/>
          <w:szCs w:val="16"/>
          <w:lang w:val="en-GB"/>
        </w:rPr>
        <w:t>, pp 102 &amp; 105</w:t>
      </w:r>
    </w:p>
  </w:footnote>
  <w:footnote w:id="37">
    <w:p w14:paraId="05E20B98" w14:textId="77777777" w:rsidR="00283B06" w:rsidRPr="00604C24" w:rsidRDefault="00283B06" w:rsidP="00283B06">
      <w:pPr>
        <w:pStyle w:val="FootnoteText"/>
        <w:rPr>
          <w:rFonts w:asciiTheme="minorHAnsi" w:hAnsiTheme="min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w:t>
      </w:r>
      <w:r w:rsidRPr="007F0356">
        <w:rPr>
          <w:rFonts w:asciiTheme="majorHAnsi" w:hAnsiTheme="majorHAnsi" w:cstheme="minorHAnsi"/>
          <w:i/>
          <w:sz w:val="16"/>
          <w:szCs w:val="16"/>
          <w:lang w:val="en-GB"/>
        </w:rPr>
        <w:t>Ibid.</w:t>
      </w:r>
      <w:r w:rsidRPr="007F0356">
        <w:rPr>
          <w:rFonts w:asciiTheme="majorHAnsi" w:hAnsiTheme="majorHAnsi" w:cstheme="minorHAnsi"/>
          <w:sz w:val="16"/>
          <w:szCs w:val="16"/>
          <w:lang w:val="en-GB"/>
        </w:rPr>
        <w:t>, pp 110 &amp; 111</w:t>
      </w:r>
    </w:p>
  </w:footnote>
  <w:footnote w:id="38">
    <w:p w14:paraId="4BE38323"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OECD, UNEP, WB, </w:t>
      </w:r>
      <w:r w:rsidRPr="007F0356">
        <w:rPr>
          <w:rFonts w:asciiTheme="majorHAnsi" w:hAnsiTheme="majorHAnsi" w:cstheme="minorHAnsi"/>
          <w:i/>
          <w:sz w:val="16"/>
          <w:szCs w:val="16"/>
          <w:lang w:val="en-GB"/>
        </w:rPr>
        <w:t>Financing climate futures…</w:t>
      </w:r>
      <w:r w:rsidRPr="007F0356">
        <w:rPr>
          <w:rFonts w:asciiTheme="majorHAnsi" w:hAnsiTheme="majorHAnsi" w:cstheme="minorHAnsi"/>
          <w:sz w:val="16"/>
          <w:szCs w:val="16"/>
          <w:lang w:val="en-GB"/>
        </w:rPr>
        <w:t>, p. 64</w:t>
      </w:r>
    </w:p>
  </w:footnote>
  <w:footnote w:id="39">
    <w:p w14:paraId="722AA30A"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UNEP Finance Initiative, </w:t>
      </w:r>
      <w:r w:rsidRPr="007F0356">
        <w:rPr>
          <w:rFonts w:asciiTheme="majorHAnsi" w:hAnsiTheme="majorHAnsi" w:cstheme="minorHAnsi"/>
          <w:i/>
          <w:sz w:val="16"/>
          <w:szCs w:val="16"/>
          <w:lang w:val="en-GB"/>
        </w:rPr>
        <w:t>Extending our horizons</w:t>
      </w:r>
      <w:r w:rsidRPr="007F0356">
        <w:rPr>
          <w:rFonts w:asciiTheme="majorHAnsi" w:hAnsiTheme="majorHAnsi" w:cstheme="minorHAnsi"/>
          <w:sz w:val="16"/>
          <w:szCs w:val="16"/>
          <w:lang w:val="en-GB"/>
        </w:rPr>
        <w:t>…, p. 7</w:t>
      </w:r>
    </w:p>
  </w:footnote>
  <w:footnote w:id="40">
    <w:p w14:paraId="68BDA1DA"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Nick Robins et al., </w:t>
      </w:r>
      <w:r w:rsidRPr="007F0356">
        <w:rPr>
          <w:rFonts w:asciiTheme="majorHAnsi" w:hAnsiTheme="majorHAnsi" w:cstheme="minorHAnsi"/>
          <w:i/>
          <w:sz w:val="16"/>
          <w:szCs w:val="16"/>
          <w:lang w:val="en-GB"/>
        </w:rPr>
        <w:t xml:space="preserve">Investing in a just transition…, </w:t>
      </w:r>
      <w:r w:rsidRPr="007F0356">
        <w:rPr>
          <w:rFonts w:asciiTheme="majorHAnsi" w:hAnsiTheme="majorHAnsi" w:cstheme="minorHAnsi"/>
          <w:sz w:val="16"/>
          <w:szCs w:val="16"/>
          <w:lang w:val="en-GB"/>
        </w:rPr>
        <w:t>p. 6</w:t>
      </w:r>
    </w:p>
  </w:footnote>
  <w:footnote w:id="41">
    <w:p w14:paraId="4DF725B3" w14:textId="5F0EE3C6" w:rsidR="00283B06" w:rsidRPr="007F0356" w:rsidRDefault="00283B06" w:rsidP="00283B06">
      <w:pPr>
        <w:spacing w:after="0" w:line="240" w:lineRule="auto"/>
        <w:rPr>
          <w:rFonts w:asciiTheme="majorHAnsi" w:hAnsiTheme="majorHAnsi" w:cstheme="minorHAnsi"/>
          <w:sz w:val="16"/>
          <w:szCs w:val="16"/>
          <w:shd w:val="clear" w:color="auto" w:fill="FFFFFF"/>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A good example of those instruments are the </w:t>
      </w:r>
      <w:hyperlink r:id="rId5" w:history="1">
        <w:r w:rsidRPr="007F0356">
          <w:rPr>
            <w:rStyle w:val="Hyperlink"/>
            <w:rFonts w:asciiTheme="majorHAnsi" w:hAnsiTheme="majorHAnsi" w:cstheme="minorHAnsi"/>
            <w:color w:val="49A942"/>
            <w:sz w:val="16"/>
            <w:szCs w:val="16"/>
            <w:lang w:val="en-GB"/>
          </w:rPr>
          <w:t>Blue Bonds for Conservation</w:t>
        </w:r>
      </w:hyperlink>
      <w:r w:rsidRPr="007F0356">
        <w:rPr>
          <w:rStyle w:val="apple-converted-space"/>
          <w:rFonts w:asciiTheme="majorHAnsi" w:hAnsiTheme="majorHAnsi" w:cstheme="minorHAnsi"/>
          <w:color w:val="3C3C3C"/>
          <w:sz w:val="16"/>
          <w:szCs w:val="16"/>
          <w:shd w:val="clear" w:color="auto" w:fill="FFFFFF"/>
          <w:lang w:val="en-GB"/>
        </w:rPr>
        <w:t> </w:t>
      </w:r>
      <w:r w:rsidRPr="007F0356">
        <w:rPr>
          <w:rFonts w:asciiTheme="majorHAnsi" w:hAnsiTheme="majorHAnsi" w:cstheme="minorHAnsi"/>
          <w:sz w:val="16"/>
          <w:szCs w:val="16"/>
          <w:shd w:val="clear" w:color="auto" w:fill="FFFFFF"/>
          <w:lang w:val="en-GB"/>
        </w:rPr>
        <w:t>which were created as an opportunity for island and coastal nations to reinvest in their natural resources by refinancing their national debt in a way that secures funding for conservation work that also benefits their economies. The countries’ governments commit to protect at least 30 percent of their near-shore ocean areas, including coral reefs, mangroves and other important habitats for climate resilience, and engage in ongoing conservation work such as improving fisheries management and reducing pollution. Then, organizations such as TNC leverage public grants and commercial capital to restructure the nations</w:t>
      </w:r>
      <w:r w:rsidR="00D54299" w:rsidRPr="007F0356">
        <w:rPr>
          <w:rFonts w:asciiTheme="majorHAnsi" w:hAnsiTheme="majorHAnsi" w:cstheme="minorHAnsi"/>
          <w:sz w:val="16"/>
          <w:szCs w:val="16"/>
          <w:shd w:val="clear" w:color="auto" w:fill="FFFFFF"/>
          <w:lang w:val="en-GB"/>
        </w:rPr>
        <w:t xml:space="preserve">‘ </w:t>
      </w:r>
      <w:r w:rsidRPr="007F0356">
        <w:rPr>
          <w:rFonts w:asciiTheme="majorHAnsi" w:hAnsiTheme="majorHAnsi" w:cstheme="minorHAnsi"/>
          <w:sz w:val="16"/>
          <w:szCs w:val="16"/>
          <w:shd w:val="clear" w:color="auto" w:fill="FFFFFF"/>
          <w:lang w:val="en-GB"/>
        </w:rPr>
        <w:t xml:space="preserve">sovereign </w:t>
      </w:r>
      <w:r w:rsidRPr="007F0356">
        <w:rPr>
          <w:rFonts w:asciiTheme="majorHAnsi" w:eastAsia="Calibri" w:hAnsiTheme="majorHAnsi" w:cstheme="minorHAnsi"/>
          <w:sz w:val="16"/>
          <w:szCs w:val="16"/>
          <w:lang w:val="en-GB"/>
        </w:rPr>
        <w:t xml:space="preserve">debt, targeting lower interest rates and longer payment periods. A portion of those savings fund the new marine protected areas and the conservation activities to which the country has committed. Retrieved from The Nature Conservancy Playbook for Climate Action: </w:t>
      </w:r>
      <w:hyperlink r:id="rId6" w:history="1">
        <w:r w:rsidRPr="007F0356">
          <w:rPr>
            <w:rStyle w:val="Hyperlink"/>
            <w:rFonts w:asciiTheme="majorHAnsi" w:hAnsiTheme="majorHAnsi" w:cstheme="minorHAnsi"/>
            <w:sz w:val="16"/>
            <w:szCs w:val="16"/>
            <w:shd w:val="clear" w:color="auto" w:fill="FFFFFF"/>
            <w:lang w:val="en-GB"/>
          </w:rPr>
          <w:t>https://www.nature.org/en-us/what-we-do/our-insights/perspectives/playbook-for-climate-action/?tab_q=tab_container-tab_element_975944242</w:t>
        </w:r>
      </w:hyperlink>
      <w:r w:rsidRPr="007F0356">
        <w:rPr>
          <w:rFonts w:asciiTheme="majorHAnsi" w:hAnsiTheme="majorHAnsi" w:cstheme="minorHAnsi"/>
          <w:sz w:val="16"/>
          <w:szCs w:val="16"/>
          <w:shd w:val="clear" w:color="auto" w:fill="FFFFFF"/>
          <w:lang w:val="en-GB"/>
        </w:rPr>
        <w:t xml:space="preserve"> </w:t>
      </w:r>
      <w:r w:rsidRPr="007F0356">
        <w:rPr>
          <w:rFonts w:asciiTheme="majorHAnsi" w:eastAsia="Calibri" w:hAnsiTheme="majorHAnsi" w:cstheme="minorHAnsi"/>
          <w:sz w:val="16"/>
          <w:szCs w:val="16"/>
        </w:rPr>
        <w:fldChar w:fldCharType="begin"/>
      </w:r>
      <w:r w:rsidRPr="007F0356">
        <w:rPr>
          <w:rFonts w:asciiTheme="majorHAnsi" w:eastAsia="Calibri" w:hAnsiTheme="majorHAnsi" w:cstheme="minorHAnsi"/>
          <w:sz w:val="16"/>
          <w:szCs w:val="16"/>
          <w:lang w:val="en-GB"/>
        </w:rPr>
        <w:instrText xml:space="preserve">https://www.nature.org/en-us/what-we-do/our-insights/perspectives/playbook-for-climate-action/?tab_q=tab_container-tab_element_975944242" </w:instrText>
      </w:r>
      <w:r w:rsidRPr="007F0356">
        <w:rPr>
          <w:rFonts w:asciiTheme="majorHAnsi" w:eastAsia="Calibri" w:hAnsiTheme="majorHAnsi" w:cstheme="minorHAnsi"/>
          <w:sz w:val="16"/>
          <w:szCs w:val="16"/>
        </w:rPr>
        <w:fldChar w:fldCharType="separate"/>
      </w:r>
      <w:r w:rsidRPr="007F0356">
        <w:rPr>
          <w:rFonts w:asciiTheme="majorHAnsi" w:eastAsia="Calibri" w:hAnsiTheme="majorHAnsi" w:cstheme="minorHAnsi"/>
          <w:sz w:val="16"/>
          <w:szCs w:val="16"/>
          <w:lang w:val="en-GB"/>
        </w:rPr>
        <w:t>https://www.nature.org/en-us/what-we-do/our-insights/perspectives/playbook-for-climate-action/?tab_q=tab_container-tab_element_975944242</w:t>
      </w:r>
      <w:r w:rsidRPr="007F0356">
        <w:rPr>
          <w:rFonts w:asciiTheme="majorHAnsi" w:eastAsia="Calibri" w:hAnsiTheme="majorHAnsi" w:cstheme="minorHAnsi"/>
          <w:sz w:val="16"/>
          <w:szCs w:val="16"/>
        </w:rPr>
        <w:fldChar w:fldCharType="end"/>
      </w:r>
    </w:p>
  </w:footnote>
  <w:footnote w:id="42">
    <w:p w14:paraId="1D6E2762" w14:textId="77777777" w:rsidR="00283B06" w:rsidRPr="00604C24" w:rsidRDefault="00283B06" w:rsidP="00283B06">
      <w:pPr>
        <w:pStyle w:val="FootnoteText"/>
        <w:rPr>
          <w:rFonts w:asciiTheme="minorHAnsi" w:hAnsiTheme="min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Just Transition Centre, </w:t>
      </w:r>
      <w:r w:rsidRPr="007F0356">
        <w:rPr>
          <w:rFonts w:asciiTheme="majorHAnsi" w:hAnsiTheme="majorHAnsi" w:cstheme="minorHAnsi"/>
          <w:i/>
          <w:sz w:val="16"/>
          <w:szCs w:val="16"/>
          <w:lang w:val="en-GB"/>
        </w:rPr>
        <w:t>Just Transition…,</w:t>
      </w:r>
      <w:r w:rsidRPr="007F0356">
        <w:rPr>
          <w:rFonts w:asciiTheme="majorHAnsi" w:hAnsiTheme="majorHAnsi" w:cstheme="minorHAnsi"/>
          <w:sz w:val="16"/>
          <w:szCs w:val="16"/>
          <w:lang w:val="en-GB"/>
        </w:rPr>
        <w:t xml:space="preserve"> p. 9</w:t>
      </w:r>
    </w:p>
  </w:footnote>
  <w:footnote w:id="43">
    <w:p w14:paraId="25E9AEE6" w14:textId="77777777" w:rsidR="00283B06" w:rsidRPr="007F0356" w:rsidRDefault="00283B06" w:rsidP="00283B06">
      <w:pPr>
        <w:pStyle w:val="FootnoteText"/>
        <w:rPr>
          <w:rFonts w:asciiTheme="majorHAnsi" w:hAnsiTheme="majorHAnsi" w:cstheme="minorHAnsi"/>
          <w:sz w:val="16"/>
          <w:szCs w:val="16"/>
          <w:lang w:val="en-GB"/>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lang w:val="en-GB"/>
        </w:rPr>
        <w:t xml:space="preserve"> Nick Robins et al., </w:t>
      </w:r>
      <w:r w:rsidRPr="007F0356">
        <w:rPr>
          <w:rFonts w:asciiTheme="majorHAnsi" w:hAnsiTheme="majorHAnsi" w:cstheme="minorHAnsi"/>
          <w:i/>
          <w:sz w:val="16"/>
          <w:szCs w:val="16"/>
          <w:lang w:val="en-GB"/>
        </w:rPr>
        <w:t>Investing in a just transition…</w:t>
      </w:r>
      <w:r w:rsidRPr="007F0356">
        <w:rPr>
          <w:rFonts w:asciiTheme="majorHAnsi" w:hAnsiTheme="majorHAnsi" w:cstheme="minorHAnsi"/>
          <w:sz w:val="16"/>
          <w:szCs w:val="16"/>
          <w:lang w:val="en-GB"/>
        </w:rPr>
        <w:t>, p. 26</w:t>
      </w:r>
    </w:p>
  </w:footnote>
  <w:footnote w:id="44">
    <w:p w14:paraId="10E76E4C" w14:textId="77777777" w:rsidR="00283B06" w:rsidRPr="0049685D" w:rsidRDefault="00283B06" w:rsidP="00283B06">
      <w:pPr>
        <w:pStyle w:val="FootnoteText"/>
        <w:rPr>
          <w:rFonts w:asciiTheme="minorHAnsi" w:hAnsiTheme="minorHAnsi" w:cstheme="minorHAnsi"/>
          <w:sz w:val="16"/>
          <w:szCs w:val="16"/>
          <w:lang w:val="es-ES_tradnl"/>
        </w:rPr>
      </w:pPr>
      <w:r w:rsidRPr="007F0356">
        <w:rPr>
          <w:rStyle w:val="FootnoteReference"/>
          <w:rFonts w:asciiTheme="majorHAnsi" w:hAnsiTheme="majorHAnsi" w:cstheme="minorHAnsi"/>
          <w:sz w:val="16"/>
          <w:szCs w:val="16"/>
        </w:rPr>
        <w:footnoteRef/>
      </w:r>
      <w:r w:rsidRPr="007F0356">
        <w:rPr>
          <w:rFonts w:asciiTheme="majorHAnsi" w:hAnsiTheme="majorHAnsi" w:cstheme="minorHAnsi"/>
          <w:sz w:val="16"/>
          <w:szCs w:val="16"/>
        </w:rPr>
        <w:t xml:space="preserve"> </w:t>
      </w:r>
      <w:r w:rsidRPr="007F0356">
        <w:rPr>
          <w:rFonts w:asciiTheme="majorHAnsi" w:hAnsiTheme="majorHAnsi" w:cstheme="minorHAnsi"/>
          <w:sz w:val="16"/>
          <w:szCs w:val="16"/>
          <w:lang w:val="es-ES_tradnl"/>
        </w:rPr>
        <w:t xml:space="preserve">César Gabriel Espinosa García, </w:t>
      </w:r>
      <w:r w:rsidRPr="007F0356">
        <w:rPr>
          <w:rFonts w:asciiTheme="majorHAnsi" w:hAnsiTheme="majorHAnsi" w:cstheme="minorHAnsi"/>
          <w:i/>
          <w:sz w:val="16"/>
          <w:szCs w:val="16"/>
          <w:lang w:val="es-ES_tradnl"/>
        </w:rPr>
        <w:t>Shadow Carbon Pricing …</w:t>
      </w:r>
      <w:r w:rsidRPr="007F0356">
        <w:rPr>
          <w:rFonts w:asciiTheme="majorHAnsi" w:hAnsiTheme="majorHAnsi" w:cstheme="minorHAnsi"/>
          <w:sz w:val="16"/>
          <w:szCs w:val="16"/>
          <w:lang w:val="es-ES_tradnl"/>
        </w:rPr>
        <w:t>, p. 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9F27" w14:textId="77777777" w:rsidR="00C252AC" w:rsidRDefault="00C252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AB43B" w14:textId="63B84E02" w:rsidR="00C252AC" w:rsidRPr="007F76A8" w:rsidRDefault="00C252AC" w:rsidP="007F76A8">
    <w:pPr>
      <w:pStyle w:val="Heading1"/>
      <w:spacing w:before="0"/>
      <w:rPr>
        <w:rFonts w:asciiTheme="minorHAnsi" w:eastAsia="Times New Roman" w:hAnsiTheme="minorHAnsi"/>
        <w:b w:val="0"/>
        <w:bCs w:val="0"/>
        <w:color w:val="2E74B5"/>
        <w:sz w:val="18"/>
        <w:szCs w:val="24"/>
        <w:lang w:val="en-GB"/>
      </w:rPr>
    </w:pPr>
    <w:r w:rsidRPr="003508C7">
      <w:rPr>
        <w:noProof/>
        <w:sz w:val="24"/>
        <w:lang w:val="es-PE" w:eastAsia="es-PE"/>
      </w:rPr>
      <w:drawing>
        <wp:anchor distT="0" distB="0" distL="114300" distR="114300" simplePos="0" relativeHeight="251657216" behindDoc="1" locked="0" layoutInCell="1" allowOverlap="1" wp14:anchorId="33615016" wp14:editId="7F510EF8">
          <wp:simplePos x="0" y="0"/>
          <wp:positionH relativeFrom="column">
            <wp:posOffset>3886200</wp:posOffset>
          </wp:positionH>
          <wp:positionV relativeFrom="paragraph">
            <wp:posOffset>-218440</wp:posOffset>
          </wp:positionV>
          <wp:extent cx="1815465" cy="650240"/>
          <wp:effectExtent l="0" t="0" r="0" b="10160"/>
          <wp:wrapThrough wrapText="bothSides">
            <wp:wrapPolygon edited="0">
              <wp:start x="0" y="0"/>
              <wp:lineTo x="0" y="21094"/>
              <wp:lineTo x="21154" y="21094"/>
              <wp:lineTo x="2115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colores_Página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5465" cy="6502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CBF2" w14:textId="77777777" w:rsidR="00C252AC" w:rsidRDefault="00C252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0588"/>
    <w:multiLevelType w:val="hybridMultilevel"/>
    <w:tmpl w:val="CA3008AA"/>
    <w:lvl w:ilvl="0" w:tplc="08090019">
      <w:start w:val="1"/>
      <w:numFmt w:val="lowerLetter"/>
      <w:lvlText w:val="%1."/>
      <w:lvlJc w:val="left"/>
      <w:pPr>
        <w:ind w:left="360" w:hanging="360"/>
      </w:pPr>
      <w:rPr>
        <w:rFonts w:hint="default"/>
        <w:color w:val="auto"/>
      </w:rPr>
    </w:lvl>
    <w:lvl w:ilvl="1" w:tplc="0C0A0019">
      <w:start w:val="1"/>
      <w:numFmt w:val="lowerLetter"/>
      <w:lvlText w:val="%2."/>
      <w:lvlJc w:val="left"/>
      <w:pPr>
        <w:ind w:left="1080" w:hanging="360"/>
      </w:pPr>
    </w:lvl>
    <w:lvl w:ilvl="2" w:tplc="240A0019">
      <w:start w:val="1"/>
      <w:numFmt w:val="lowerLetter"/>
      <w:lvlText w:val="%3."/>
      <w:lvlJc w:val="left"/>
      <w:pPr>
        <w:ind w:left="1800" w:hanging="180"/>
      </w:pPr>
      <w:rPr>
        <w:rFonts w:hint="default"/>
      </w:rPr>
    </w:lvl>
    <w:lvl w:ilvl="3" w:tplc="240A001B">
      <w:start w:val="1"/>
      <w:numFmt w:val="lowerRoman"/>
      <w:lvlText w:val="%4."/>
      <w:lvlJc w:val="righ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182D9F"/>
    <w:multiLevelType w:val="multilevel"/>
    <w:tmpl w:val="E40C65C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color w:val="00000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CFD6F65"/>
    <w:multiLevelType w:val="hybridMultilevel"/>
    <w:tmpl w:val="9BBE5A7C"/>
    <w:lvl w:ilvl="0" w:tplc="FEF81360">
      <w:start w:val="2"/>
      <w:numFmt w:val="bullet"/>
      <w:lvlText w:val="-"/>
      <w:lvlJc w:val="left"/>
      <w:pPr>
        <w:ind w:left="720" w:hanging="360"/>
      </w:pPr>
      <w:rPr>
        <w:rFonts w:ascii="Cambria" w:eastAsiaTheme="minorHAnsi" w:hAnsi="Cambr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C7608"/>
    <w:multiLevelType w:val="hybridMultilevel"/>
    <w:tmpl w:val="B93A5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9873C6"/>
    <w:multiLevelType w:val="hybridMultilevel"/>
    <w:tmpl w:val="8F2ADF84"/>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55B51"/>
    <w:multiLevelType w:val="hybridMultilevel"/>
    <w:tmpl w:val="D4928196"/>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06A04D4"/>
    <w:multiLevelType w:val="multilevel"/>
    <w:tmpl w:val="DA0ED66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ind w:left="1080" w:hanging="360"/>
      </w:pPr>
      <w:rPr>
        <w:rFonts w:ascii="Courier New" w:hAnsi="Courier New" w:cs="Courier New" w:hint="default"/>
        <w:color w:val="00000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2C74B52"/>
    <w:multiLevelType w:val="hybridMultilevel"/>
    <w:tmpl w:val="8EBC52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9A01AE"/>
    <w:multiLevelType w:val="hybridMultilevel"/>
    <w:tmpl w:val="5AE2115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46A453F1"/>
    <w:multiLevelType w:val="hybridMultilevel"/>
    <w:tmpl w:val="1EC0F4A0"/>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4BAD6D08"/>
    <w:multiLevelType w:val="hybridMultilevel"/>
    <w:tmpl w:val="43E064E6"/>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120" w:hanging="360"/>
      </w:pPr>
      <w:rPr>
        <w:rFonts w:ascii="Courier New" w:hAnsi="Courier New" w:hint="default"/>
      </w:rPr>
    </w:lvl>
    <w:lvl w:ilvl="2" w:tplc="0C0A0005">
      <w:start w:val="1"/>
      <w:numFmt w:val="bullet"/>
      <w:lvlText w:val=""/>
      <w:lvlJc w:val="left"/>
      <w:pPr>
        <w:ind w:left="1840" w:hanging="360"/>
      </w:pPr>
      <w:rPr>
        <w:rFonts w:ascii="Wingdings" w:hAnsi="Wingdings" w:hint="default"/>
      </w:rPr>
    </w:lvl>
    <w:lvl w:ilvl="3" w:tplc="0C0A0001" w:tentative="1">
      <w:start w:val="1"/>
      <w:numFmt w:val="bullet"/>
      <w:lvlText w:val=""/>
      <w:lvlJc w:val="left"/>
      <w:pPr>
        <w:ind w:left="2560" w:hanging="360"/>
      </w:pPr>
      <w:rPr>
        <w:rFonts w:ascii="Symbol" w:hAnsi="Symbol" w:hint="default"/>
      </w:rPr>
    </w:lvl>
    <w:lvl w:ilvl="4" w:tplc="0C0A0003" w:tentative="1">
      <w:start w:val="1"/>
      <w:numFmt w:val="bullet"/>
      <w:lvlText w:val="o"/>
      <w:lvlJc w:val="left"/>
      <w:pPr>
        <w:ind w:left="3280" w:hanging="360"/>
      </w:pPr>
      <w:rPr>
        <w:rFonts w:ascii="Courier New" w:hAnsi="Courier New" w:hint="default"/>
      </w:rPr>
    </w:lvl>
    <w:lvl w:ilvl="5" w:tplc="0C0A0005" w:tentative="1">
      <w:start w:val="1"/>
      <w:numFmt w:val="bullet"/>
      <w:lvlText w:val=""/>
      <w:lvlJc w:val="left"/>
      <w:pPr>
        <w:ind w:left="4000" w:hanging="360"/>
      </w:pPr>
      <w:rPr>
        <w:rFonts w:ascii="Wingdings" w:hAnsi="Wingdings" w:hint="default"/>
      </w:rPr>
    </w:lvl>
    <w:lvl w:ilvl="6" w:tplc="0C0A0001" w:tentative="1">
      <w:start w:val="1"/>
      <w:numFmt w:val="bullet"/>
      <w:lvlText w:val=""/>
      <w:lvlJc w:val="left"/>
      <w:pPr>
        <w:ind w:left="4720" w:hanging="360"/>
      </w:pPr>
      <w:rPr>
        <w:rFonts w:ascii="Symbol" w:hAnsi="Symbol" w:hint="default"/>
      </w:rPr>
    </w:lvl>
    <w:lvl w:ilvl="7" w:tplc="0C0A0003" w:tentative="1">
      <w:start w:val="1"/>
      <w:numFmt w:val="bullet"/>
      <w:lvlText w:val="o"/>
      <w:lvlJc w:val="left"/>
      <w:pPr>
        <w:ind w:left="5440" w:hanging="360"/>
      </w:pPr>
      <w:rPr>
        <w:rFonts w:ascii="Courier New" w:hAnsi="Courier New" w:hint="default"/>
      </w:rPr>
    </w:lvl>
    <w:lvl w:ilvl="8" w:tplc="0C0A0005" w:tentative="1">
      <w:start w:val="1"/>
      <w:numFmt w:val="bullet"/>
      <w:lvlText w:val=""/>
      <w:lvlJc w:val="left"/>
      <w:pPr>
        <w:ind w:left="6160" w:hanging="360"/>
      </w:pPr>
      <w:rPr>
        <w:rFonts w:ascii="Wingdings" w:hAnsi="Wingdings" w:hint="default"/>
      </w:rPr>
    </w:lvl>
  </w:abstractNum>
  <w:abstractNum w:abstractNumId="11" w15:restartNumberingAfterBreak="0">
    <w:nsid w:val="4D945FDB"/>
    <w:multiLevelType w:val="hybridMultilevel"/>
    <w:tmpl w:val="2DE28550"/>
    <w:lvl w:ilvl="0" w:tplc="08090001">
      <w:start w:val="1"/>
      <w:numFmt w:val="bullet"/>
      <w:lvlText w:val=""/>
      <w:lvlJc w:val="left"/>
      <w:pPr>
        <w:ind w:left="426" w:hanging="360"/>
      </w:pPr>
      <w:rPr>
        <w:rFonts w:ascii="Symbol" w:hAnsi="Symbol" w:hint="default"/>
      </w:rPr>
    </w:lvl>
    <w:lvl w:ilvl="1" w:tplc="08090003">
      <w:start w:val="1"/>
      <w:numFmt w:val="bullet"/>
      <w:lvlText w:val="o"/>
      <w:lvlJc w:val="left"/>
      <w:pPr>
        <w:ind w:left="1146" w:hanging="360"/>
      </w:pPr>
      <w:rPr>
        <w:rFonts w:ascii="Courier New" w:hAnsi="Courier New" w:cs="Courier New" w:hint="default"/>
      </w:rPr>
    </w:lvl>
    <w:lvl w:ilvl="2" w:tplc="08090005">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2" w15:restartNumberingAfterBreak="0">
    <w:nsid w:val="4DB1346C"/>
    <w:multiLevelType w:val="hybridMultilevel"/>
    <w:tmpl w:val="847862E0"/>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0465340"/>
    <w:multiLevelType w:val="hybridMultilevel"/>
    <w:tmpl w:val="01FED58E"/>
    <w:lvl w:ilvl="0" w:tplc="0C0A0001">
      <w:start w:val="1"/>
      <w:numFmt w:val="bullet"/>
      <w:lvlText w:val=""/>
      <w:lvlJc w:val="left"/>
      <w:pPr>
        <w:ind w:left="764" w:hanging="360"/>
      </w:pPr>
      <w:rPr>
        <w:rFonts w:ascii="Symbol" w:hAnsi="Symbol" w:hint="default"/>
      </w:rPr>
    </w:lvl>
    <w:lvl w:ilvl="1" w:tplc="0C0A0003" w:tentative="1">
      <w:start w:val="1"/>
      <w:numFmt w:val="bullet"/>
      <w:lvlText w:val="o"/>
      <w:lvlJc w:val="left"/>
      <w:pPr>
        <w:ind w:left="1484" w:hanging="360"/>
      </w:pPr>
      <w:rPr>
        <w:rFonts w:ascii="Courier New" w:hAnsi="Courier New" w:hint="default"/>
      </w:rPr>
    </w:lvl>
    <w:lvl w:ilvl="2" w:tplc="0C0A0005" w:tentative="1">
      <w:start w:val="1"/>
      <w:numFmt w:val="bullet"/>
      <w:lvlText w:val=""/>
      <w:lvlJc w:val="left"/>
      <w:pPr>
        <w:ind w:left="2204" w:hanging="360"/>
      </w:pPr>
      <w:rPr>
        <w:rFonts w:ascii="Wingdings" w:hAnsi="Wingdings" w:hint="default"/>
      </w:rPr>
    </w:lvl>
    <w:lvl w:ilvl="3" w:tplc="0C0A0001" w:tentative="1">
      <w:start w:val="1"/>
      <w:numFmt w:val="bullet"/>
      <w:lvlText w:val=""/>
      <w:lvlJc w:val="left"/>
      <w:pPr>
        <w:ind w:left="2924" w:hanging="360"/>
      </w:pPr>
      <w:rPr>
        <w:rFonts w:ascii="Symbol" w:hAnsi="Symbol" w:hint="default"/>
      </w:rPr>
    </w:lvl>
    <w:lvl w:ilvl="4" w:tplc="0C0A0003" w:tentative="1">
      <w:start w:val="1"/>
      <w:numFmt w:val="bullet"/>
      <w:lvlText w:val="o"/>
      <w:lvlJc w:val="left"/>
      <w:pPr>
        <w:ind w:left="3644" w:hanging="360"/>
      </w:pPr>
      <w:rPr>
        <w:rFonts w:ascii="Courier New" w:hAnsi="Courier New" w:hint="default"/>
      </w:rPr>
    </w:lvl>
    <w:lvl w:ilvl="5" w:tplc="0C0A0005" w:tentative="1">
      <w:start w:val="1"/>
      <w:numFmt w:val="bullet"/>
      <w:lvlText w:val=""/>
      <w:lvlJc w:val="left"/>
      <w:pPr>
        <w:ind w:left="4364" w:hanging="360"/>
      </w:pPr>
      <w:rPr>
        <w:rFonts w:ascii="Wingdings" w:hAnsi="Wingdings" w:hint="default"/>
      </w:rPr>
    </w:lvl>
    <w:lvl w:ilvl="6" w:tplc="0C0A0001" w:tentative="1">
      <w:start w:val="1"/>
      <w:numFmt w:val="bullet"/>
      <w:lvlText w:val=""/>
      <w:lvlJc w:val="left"/>
      <w:pPr>
        <w:ind w:left="5084" w:hanging="360"/>
      </w:pPr>
      <w:rPr>
        <w:rFonts w:ascii="Symbol" w:hAnsi="Symbol" w:hint="default"/>
      </w:rPr>
    </w:lvl>
    <w:lvl w:ilvl="7" w:tplc="0C0A0003" w:tentative="1">
      <w:start w:val="1"/>
      <w:numFmt w:val="bullet"/>
      <w:lvlText w:val="o"/>
      <w:lvlJc w:val="left"/>
      <w:pPr>
        <w:ind w:left="5804" w:hanging="360"/>
      </w:pPr>
      <w:rPr>
        <w:rFonts w:ascii="Courier New" w:hAnsi="Courier New" w:hint="default"/>
      </w:rPr>
    </w:lvl>
    <w:lvl w:ilvl="8" w:tplc="0C0A0005" w:tentative="1">
      <w:start w:val="1"/>
      <w:numFmt w:val="bullet"/>
      <w:lvlText w:val=""/>
      <w:lvlJc w:val="left"/>
      <w:pPr>
        <w:ind w:left="6524" w:hanging="360"/>
      </w:pPr>
      <w:rPr>
        <w:rFonts w:ascii="Wingdings" w:hAnsi="Wingdings" w:hint="default"/>
      </w:rPr>
    </w:lvl>
  </w:abstractNum>
  <w:abstractNum w:abstractNumId="14" w15:restartNumberingAfterBreak="0">
    <w:nsid w:val="57AD5B35"/>
    <w:multiLevelType w:val="hybridMultilevel"/>
    <w:tmpl w:val="8AA69848"/>
    <w:lvl w:ilvl="0" w:tplc="0C0A0003">
      <w:start w:val="1"/>
      <w:numFmt w:val="bullet"/>
      <w:lvlText w:val="o"/>
      <w:lvlJc w:val="left"/>
      <w:pPr>
        <w:ind w:left="1120" w:hanging="360"/>
      </w:pPr>
      <w:rPr>
        <w:rFonts w:ascii="Courier New" w:hAnsi="Courier New"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E8D7EDD"/>
    <w:multiLevelType w:val="hybridMultilevel"/>
    <w:tmpl w:val="6588A792"/>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120" w:hanging="360"/>
      </w:pPr>
      <w:rPr>
        <w:rFonts w:ascii="Courier New" w:hAnsi="Courier New" w:hint="default"/>
      </w:rPr>
    </w:lvl>
    <w:lvl w:ilvl="2" w:tplc="0C0A0005" w:tentative="1">
      <w:start w:val="1"/>
      <w:numFmt w:val="bullet"/>
      <w:lvlText w:val=""/>
      <w:lvlJc w:val="left"/>
      <w:pPr>
        <w:ind w:left="1840" w:hanging="360"/>
      </w:pPr>
      <w:rPr>
        <w:rFonts w:ascii="Wingdings" w:hAnsi="Wingdings" w:hint="default"/>
      </w:rPr>
    </w:lvl>
    <w:lvl w:ilvl="3" w:tplc="0C0A0001" w:tentative="1">
      <w:start w:val="1"/>
      <w:numFmt w:val="bullet"/>
      <w:lvlText w:val=""/>
      <w:lvlJc w:val="left"/>
      <w:pPr>
        <w:ind w:left="2560" w:hanging="360"/>
      </w:pPr>
      <w:rPr>
        <w:rFonts w:ascii="Symbol" w:hAnsi="Symbol" w:hint="default"/>
      </w:rPr>
    </w:lvl>
    <w:lvl w:ilvl="4" w:tplc="0C0A0003" w:tentative="1">
      <w:start w:val="1"/>
      <w:numFmt w:val="bullet"/>
      <w:lvlText w:val="o"/>
      <w:lvlJc w:val="left"/>
      <w:pPr>
        <w:ind w:left="3280" w:hanging="360"/>
      </w:pPr>
      <w:rPr>
        <w:rFonts w:ascii="Courier New" w:hAnsi="Courier New" w:hint="default"/>
      </w:rPr>
    </w:lvl>
    <w:lvl w:ilvl="5" w:tplc="0C0A0005" w:tentative="1">
      <w:start w:val="1"/>
      <w:numFmt w:val="bullet"/>
      <w:lvlText w:val=""/>
      <w:lvlJc w:val="left"/>
      <w:pPr>
        <w:ind w:left="4000" w:hanging="360"/>
      </w:pPr>
      <w:rPr>
        <w:rFonts w:ascii="Wingdings" w:hAnsi="Wingdings" w:hint="default"/>
      </w:rPr>
    </w:lvl>
    <w:lvl w:ilvl="6" w:tplc="0C0A0001" w:tentative="1">
      <w:start w:val="1"/>
      <w:numFmt w:val="bullet"/>
      <w:lvlText w:val=""/>
      <w:lvlJc w:val="left"/>
      <w:pPr>
        <w:ind w:left="4720" w:hanging="360"/>
      </w:pPr>
      <w:rPr>
        <w:rFonts w:ascii="Symbol" w:hAnsi="Symbol" w:hint="default"/>
      </w:rPr>
    </w:lvl>
    <w:lvl w:ilvl="7" w:tplc="0C0A0003" w:tentative="1">
      <w:start w:val="1"/>
      <w:numFmt w:val="bullet"/>
      <w:lvlText w:val="o"/>
      <w:lvlJc w:val="left"/>
      <w:pPr>
        <w:ind w:left="5440" w:hanging="360"/>
      </w:pPr>
      <w:rPr>
        <w:rFonts w:ascii="Courier New" w:hAnsi="Courier New" w:hint="default"/>
      </w:rPr>
    </w:lvl>
    <w:lvl w:ilvl="8" w:tplc="0C0A0005" w:tentative="1">
      <w:start w:val="1"/>
      <w:numFmt w:val="bullet"/>
      <w:lvlText w:val=""/>
      <w:lvlJc w:val="left"/>
      <w:pPr>
        <w:ind w:left="6160" w:hanging="360"/>
      </w:pPr>
      <w:rPr>
        <w:rFonts w:ascii="Wingdings" w:hAnsi="Wingdings" w:hint="default"/>
      </w:rPr>
    </w:lvl>
  </w:abstractNum>
  <w:abstractNum w:abstractNumId="16" w15:restartNumberingAfterBreak="0">
    <w:nsid w:val="66C44A4C"/>
    <w:multiLevelType w:val="hybridMultilevel"/>
    <w:tmpl w:val="F7FC130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7015A0B"/>
    <w:multiLevelType w:val="hybridMultilevel"/>
    <w:tmpl w:val="2E2CDB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7D5ECD"/>
    <w:multiLevelType w:val="hybridMultilevel"/>
    <w:tmpl w:val="3AB0D88C"/>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120" w:hanging="360"/>
      </w:pPr>
      <w:rPr>
        <w:rFonts w:ascii="Courier New" w:hAnsi="Courier New" w:hint="default"/>
      </w:rPr>
    </w:lvl>
    <w:lvl w:ilvl="2" w:tplc="0C0A001B">
      <w:start w:val="1"/>
      <w:numFmt w:val="lowerRoman"/>
      <w:lvlText w:val="%3."/>
      <w:lvlJc w:val="right"/>
      <w:pPr>
        <w:ind w:left="1840" w:hanging="360"/>
      </w:pPr>
      <w:rPr>
        <w:rFonts w:hint="default"/>
      </w:rPr>
    </w:lvl>
    <w:lvl w:ilvl="3" w:tplc="0C0A0001" w:tentative="1">
      <w:start w:val="1"/>
      <w:numFmt w:val="bullet"/>
      <w:lvlText w:val=""/>
      <w:lvlJc w:val="left"/>
      <w:pPr>
        <w:ind w:left="2560" w:hanging="360"/>
      </w:pPr>
      <w:rPr>
        <w:rFonts w:ascii="Symbol" w:hAnsi="Symbol" w:hint="default"/>
      </w:rPr>
    </w:lvl>
    <w:lvl w:ilvl="4" w:tplc="0C0A0003" w:tentative="1">
      <w:start w:val="1"/>
      <w:numFmt w:val="bullet"/>
      <w:lvlText w:val="o"/>
      <w:lvlJc w:val="left"/>
      <w:pPr>
        <w:ind w:left="3280" w:hanging="360"/>
      </w:pPr>
      <w:rPr>
        <w:rFonts w:ascii="Courier New" w:hAnsi="Courier New" w:hint="default"/>
      </w:rPr>
    </w:lvl>
    <w:lvl w:ilvl="5" w:tplc="0C0A0005" w:tentative="1">
      <w:start w:val="1"/>
      <w:numFmt w:val="bullet"/>
      <w:lvlText w:val=""/>
      <w:lvlJc w:val="left"/>
      <w:pPr>
        <w:ind w:left="4000" w:hanging="360"/>
      </w:pPr>
      <w:rPr>
        <w:rFonts w:ascii="Wingdings" w:hAnsi="Wingdings" w:hint="default"/>
      </w:rPr>
    </w:lvl>
    <w:lvl w:ilvl="6" w:tplc="0C0A0001" w:tentative="1">
      <w:start w:val="1"/>
      <w:numFmt w:val="bullet"/>
      <w:lvlText w:val=""/>
      <w:lvlJc w:val="left"/>
      <w:pPr>
        <w:ind w:left="4720" w:hanging="360"/>
      </w:pPr>
      <w:rPr>
        <w:rFonts w:ascii="Symbol" w:hAnsi="Symbol" w:hint="default"/>
      </w:rPr>
    </w:lvl>
    <w:lvl w:ilvl="7" w:tplc="0C0A0003" w:tentative="1">
      <w:start w:val="1"/>
      <w:numFmt w:val="bullet"/>
      <w:lvlText w:val="o"/>
      <w:lvlJc w:val="left"/>
      <w:pPr>
        <w:ind w:left="5440" w:hanging="360"/>
      </w:pPr>
      <w:rPr>
        <w:rFonts w:ascii="Courier New" w:hAnsi="Courier New" w:hint="default"/>
      </w:rPr>
    </w:lvl>
    <w:lvl w:ilvl="8" w:tplc="0C0A0005" w:tentative="1">
      <w:start w:val="1"/>
      <w:numFmt w:val="bullet"/>
      <w:lvlText w:val=""/>
      <w:lvlJc w:val="left"/>
      <w:pPr>
        <w:ind w:left="6160" w:hanging="360"/>
      </w:pPr>
      <w:rPr>
        <w:rFonts w:ascii="Wingdings" w:hAnsi="Wingdings" w:hint="default"/>
      </w:rPr>
    </w:lvl>
  </w:abstractNum>
  <w:abstractNum w:abstractNumId="19" w15:restartNumberingAfterBreak="0">
    <w:nsid w:val="751B610A"/>
    <w:multiLevelType w:val="hybridMultilevel"/>
    <w:tmpl w:val="050288F2"/>
    <w:lvl w:ilvl="0" w:tplc="0C0A0005">
      <w:start w:val="1"/>
      <w:numFmt w:val="bullet"/>
      <w:lvlText w:val=""/>
      <w:lvlJc w:val="left"/>
      <w:pPr>
        <w:ind w:left="360" w:hanging="360"/>
      </w:pPr>
      <w:rPr>
        <w:rFonts w:ascii="Wingdings" w:hAnsi="Wingdings" w:hint="default"/>
      </w:rPr>
    </w:lvl>
    <w:lvl w:ilvl="1" w:tplc="0C0A0005">
      <w:start w:val="1"/>
      <w:numFmt w:val="bullet"/>
      <w:lvlText w:val=""/>
      <w:lvlJc w:val="left"/>
      <w:pPr>
        <w:ind w:left="1120" w:hanging="360"/>
      </w:pPr>
      <w:rPr>
        <w:rFonts w:ascii="Wingdings" w:hAnsi="Wingdings" w:hint="default"/>
      </w:rPr>
    </w:lvl>
    <w:lvl w:ilvl="2" w:tplc="0C0A0005">
      <w:start w:val="1"/>
      <w:numFmt w:val="bullet"/>
      <w:lvlText w:val=""/>
      <w:lvlJc w:val="left"/>
      <w:pPr>
        <w:ind w:left="1840" w:hanging="360"/>
      </w:pPr>
      <w:rPr>
        <w:rFonts w:ascii="Wingdings" w:hAnsi="Wingdings" w:hint="default"/>
      </w:rPr>
    </w:lvl>
    <w:lvl w:ilvl="3" w:tplc="0C0A0001">
      <w:start w:val="1"/>
      <w:numFmt w:val="bullet"/>
      <w:lvlText w:val=""/>
      <w:lvlJc w:val="left"/>
      <w:pPr>
        <w:ind w:left="2560" w:hanging="360"/>
      </w:pPr>
      <w:rPr>
        <w:rFonts w:ascii="Symbol" w:hAnsi="Symbol" w:hint="default"/>
      </w:rPr>
    </w:lvl>
    <w:lvl w:ilvl="4" w:tplc="0C0A0003" w:tentative="1">
      <w:start w:val="1"/>
      <w:numFmt w:val="bullet"/>
      <w:lvlText w:val="o"/>
      <w:lvlJc w:val="left"/>
      <w:pPr>
        <w:ind w:left="3280" w:hanging="360"/>
      </w:pPr>
      <w:rPr>
        <w:rFonts w:ascii="Courier New" w:hAnsi="Courier New" w:hint="default"/>
      </w:rPr>
    </w:lvl>
    <w:lvl w:ilvl="5" w:tplc="0C0A0005" w:tentative="1">
      <w:start w:val="1"/>
      <w:numFmt w:val="bullet"/>
      <w:lvlText w:val=""/>
      <w:lvlJc w:val="left"/>
      <w:pPr>
        <w:ind w:left="4000" w:hanging="360"/>
      </w:pPr>
      <w:rPr>
        <w:rFonts w:ascii="Wingdings" w:hAnsi="Wingdings" w:hint="default"/>
      </w:rPr>
    </w:lvl>
    <w:lvl w:ilvl="6" w:tplc="0C0A0001" w:tentative="1">
      <w:start w:val="1"/>
      <w:numFmt w:val="bullet"/>
      <w:lvlText w:val=""/>
      <w:lvlJc w:val="left"/>
      <w:pPr>
        <w:ind w:left="4720" w:hanging="360"/>
      </w:pPr>
      <w:rPr>
        <w:rFonts w:ascii="Symbol" w:hAnsi="Symbol" w:hint="default"/>
      </w:rPr>
    </w:lvl>
    <w:lvl w:ilvl="7" w:tplc="0C0A0003" w:tentative="1">
      <w:start w:val="1"/>
      <w:numFmt w:val="bullet"/>
      <w:lvlText w:val="o"/>
      <w:lvlJc w:val="left"/>
      <w:pPr>
        <w:ind w:left="5440" w:hanging="360"/>
      </w:pPr>
      <w:rPr>
        <w:rFonts w:ascii="Courier New" w:hAnsi="Courier New" w:hint="default"/>
      </w:rPr>
    </w:lvl>
    <w:lvl w:ilvl="8" w:tplc="0C0A0005" w:tentative="1">
      <w:start w:val="1"/>
      <w:numFmt w:val="bullet"/>
      <w:lvlText w:val=""/>
      <w:lvlJc w:val="left"/>
      <w:pPr>
        <w:ind w:left="6160" w:hanging="360"/>
      </w:pPr>
      <w:rPr>
        <w:rFonts w:ascii="Wingdings" w:hAnsi="Wingdings" w:hint="default"/>
      </w:rPr>
    </w:lvl>
  </w:abstractNum>
  <w:abstractNum w:abstractNumId="20" w15:restartNumberingAfterBreak="0">
    <w:nsid w:val="762D6397"/>
    <w:multiLevelType w:val="hybridMultilevel"/>
    <w:tmpl w:val="04FC975A"/>
    <w:lvl w:ilvl="0" w:tplc="FEF00A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E81012"/>
    <w:multiLevelType w:val="hybridMultilevel"/>
    <w:tmpl w:val="8AD2FA92"/>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120" w:hanging="360"/>
      </w:pPr>
      <w:rPr>
        <w:rFonts w:ascii="Courier New" w:hAnsi="Courier New" w:hint="default"/>
      </w:rPr>
    </w:lvl>
    <w:lvl w:ilvl="2" w:tplc="0C0A0005" w:tentative="1">
      <w:start w:val="1"/>
      <w:numFmt w:val="bullet"/>
      <w:lvlText w:val=""/>
      <w:lvlJc w:val="left"/>
      <w:pPr>
        <w:ind w:left="1840" w:hanging="360"/>
      </w:pPr>
      <w:rPr>
        <w:rFonts w:ascii="Wingdings" w:hAnsi="Wingdings" w:hint="default"/>
      </w:rPr>
    </w:lvl>
    <w:lvl w:ilvl="3" w:tplc="0C0A0001" w:tentative="1">
      <w:start w:val="1"/>
      <w:numFmt w:val="bullet"/>
      <w:lvlText w:val=""/>
      <w:lvlJc w:val="left"/>
      <w:pPr>
        <w:ind w:left="2560" w:hanging="360"/>
      </w:pPr>
      <w:rPr>
        <w:rFonts w:ascii="Symbol" w:hAnsi="Symbol" w:hint="default"/>
      </w:rPr>
    </w:lvl>
    <w:lvl w:ilvl="4" w:tplc="0C0A0003" w:tentative="1">
      <w:start w:val="1"/>
      <w:numFmt w:val="bullet"/>
      <w:lvlText w:val="o"/>
      <w:lvlJc w:val="left"/>
      <w:pPr>
        <w:ind w:left="3280" w:hanging="360"/>
      </w:pPr>
      <w:rPr>
        <w:rFonts w:ascii="Courier New" w:hAnsi="Courier New" w:hint="default"/>
      </w:rPr>
    </w:lvl>
    <w:lvl w:ilvl="5" w:tplc="0C0A0005" w:tentative="1">
      <w:start w:val="1"/>
      <w:numFmt w:val="bullet"/>
      <w:lvlText w:val=""/>
      <w:lvlJc w:val="left"/>
      <w:pPr>
        <w:ind w:left="4000" w:hanging="360"/>
      </w:pPr>
      <w:rPr>
        <w:rFonts w:ascii="Wingdings" w:hAnsi="Wingdings" w:hint="default"/>
      </w:rPr>
    </w:lvl>
    <w:lvl w:ilvl="6" w:tplc="0C0A0001" w:tentative="1">
      <w:start w:val="1"/>
      <w:numFmt w:val="bullet"/>
      <w:lvlText w:val=""/>
      <w:lvlJc w:val="left"/>
      <w:pPr>
        <w:ind w:left="4720" w:hanging="360"/>
      </w:pPr>
      <w:rPr>
        <w:rFonts w:ascii="Symbol" w:hAnsi="Symbol" w:hint="default"/>
      </w:rPr>
    </w:lvl>
    <w:lvl w:ilvl="7" w:tplc="0C0A0003" w:tentative="1">
      <w:start w:val="1"/>
      <w:numFmt w:val="bullet"/>
      <w:lvlText w:val="o"/>
      <w:lvlJc w:val="left"/>
      <w:pPr>
        <w:ind w:left="5440" w:hanging="360"/>
      </w:pPr>
      <w:rPr>
        <w:rFonts w:ascii="Courier New" w:hAnsi="Courier New" w:hint="default"/>
      </w:rPr>
    </w:lvl>
    <w:lvl w:ilvl="8" w:tplc="0C0A0005" w:tentative="1">
      <w:start w:val="1"/>
      <w:numFmt w:val="bullet"/>
      <w:lvlText w:val=""/>
      <w:lvlJc w:val="left"/>
      <w:pPr>
        <w:ind w:left="6160" w:hanging="360"/>
      </w:pPr>
      <w:rPr>
        <w:rFonts w:ascii="Wingdings" w:hAnsi="Wingdings" w:hint="default"/>
      </w:rPr>
    </w:lvl>
  </w:abstractNum>
  <w:num w:numId="1" w16cid:durableId="1190606792">
    <w:abstractNumId w:val="13"/>
  </w:num>
  <w:num w:numId="2" w16cid:durableId="1240597283">
    <w:abstractNumId w:val="8"/>
  </w:num>
  <w:num w:numId="3" w16cid:durableId="1633057841">
    <w:abstractNumId w:val="9"/>
  </w:num>
  <w:num w:numId="4" w16cid:durableId="663362168">
    <w:abstractNumId w:val="21"/>
  </w:num>
  <w:num w:numId="5" w16cid:durableId="50009982">
    <w:abstractNumId w:val="15"/>
  </w:num>
  <w:num w:numId="6" w16cid:durableId="409430961">
    <w:abstractNumId w:val="10"/>
  </w:num>
  <w:num w:numId="7" w16cid:durableId="41755238">
    <w:abstractNumId w:val="18"/>
  </w:num>
  <w:num w:numId="8" w16cid:durableId="848525470">
    <w:abstractNumId w:val="14"/>
  </w:num>
  <w:num w:numId="9" w16cid:durableId="700786368">
    <w:abstractNumId w:val="19"/>
  </w:num>
  <w:num w:numId="10" w16cid:durableId="301737271">
    <w:abstractNumId w:val="5"/>
  </w:num>
  <w:num w:numId="11" w16cid:durableId="1606501677">
    <w:abstractNumId w:val="12"/>
  </w:num>
  <w:num w:numId="12" w16cid:durableId="2133791695">
    <w:abstractNumId w:val="11"/>
  </w:num>
  <w:num w:numId="13" w16cid:durableId="2116556698">
    <w:abstractNumId w:val="0"/>
  </w:num>
  <w:num w:numId="14" w16cid:durableId="178934010">
    <w:abstractNumId w:val="16"/>
  </w:num>
  <w:num w:numId="15" w16cid:durableId="146752420">
    <w:abstractNumId w:val="20"/>
  </w:num>
  <w:num w:numId="16" w16cid:durableId="1874532094">
    <w:abstractNumId w:val="2"/>
  </w:num>
  <w:num w:numId="17" w16cid:durableId="1367022676">
    <w:abstractNumId w:val="1"/>
  </w:num>
  <w:num w:numId="18" w16cid:durableId="1055859336">
    <w:abstractNumId w:val="6"/>
  </w:num>
  <w:num w:numId="19" w16cid:durableId="844126655">
    <w:abstractNumId w:val="17"/>
  </w:num>
  <w:num w:numId="20" w16cid:durableId="1543783440">
    <w:abstractNumId w:val="7"/>
  </w:num>
  <w:num w:numId="21" w16cid:durableId="938025503">
    <w:abstractNumId w:val="4"/>
  </w:num>
  <w:num w:numId="22" w16cid:durableId="175269602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5"/>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9D7"/>
    <w:rsid w:val="000005B0"/>
    <w:rsid w:val="00001354"/>
    <w:rsid w:val="00003DB0"/>
    <w:rsid w:val="0000527C"/>
    <w:rsid w:val="00010C43"/>
    <w:rsid w:val="00010E89"/>
    <w:rsid w:val="00011532"/>
    <w:rsid w:val="00013D5F"/>
    <w:rsid w:val="00014594"/>
    <w:rsid w:val="00014595"/>
    <w:rsid w:val="00020D9B"/>
    <w:rsid w:val="0002573A"/>
    <w:rsid w:val="00025E30"/>
    <w:rsid w:val="000314A1"/>
    <w:rsid w:val="0003412B"/>
    <w:rsid w:val="00035CC8"/>
    <w:rsid w:val="000373AA"/>
    <w:rsid w:val="00037904"/>
    <w:rsid w:val="00037AF2"/>
    <w:rsid w:val="00041660"/>
    <w:rsid w:val="0004224D"/>
    <w:rsid w:val="00051A28"/>
    <w:rsid w:val="00054319"/>
    <w:rsid w:val="00057764"/>
    <w:rsid w:val="00060572"/>
    <w:rsid w:val="0006275D"/>
    <w:rsid w:val="00063EF4"/>
    <w:rsid w:val="000640F9"/>
    <w:rsid w:val="00064730"/>
    <w:rsid w:val="00065864"/>
    <w:rsid w:val="00066944"/>
    <w:rsid w:val="000671D4"/>
    <w:rsid w:val="000722E6"/>
    <w:rsid w:val="0008082D"/>
    <w:rsid w:val="00082A51"/>
    <w:rsid w:val="000855BB"/>
    <w:rsid w:val="0009085C"/>
    <w:rsid w:val="00091C14"/>
    <w:rsid w:val="00091C5F"/>
    <w:rsid w:val="000920C3"/>
    <w:rsid w:val="00093070"/>
    <w:rsid w:val="000A1380"/>
    <w:rsid w:val="000A2CA2"/>
    <w:rsid w:val="000B11F4"/>
    <w:rsid w:val="000B557B"/>
    <w:rsid w:val="000B6AA4"/>
    <w:rsid w:val="000B6AE6"/>
    <w:rsid w:val="000B6F14"/>
    <w:rsid w:val="000B7566"/>
    <w:rsid w:val="000C1179"/>
    <w:rsid w:val="000C1A7C"/>
    <w:rsid w:val="000C2BF1"/>
    <w:rsid w:val="000C4EFF"/>
    <w:rsid w:val="000D02C6"/>
    <w:rsid w:val="000D0CD7"/>
    <w:rsid w:val="000D279C"/>
    <w:rsid w:val="000D2D54"/>
    <w:rsid w:val="000D415E"/>
    <w:rsid w:val="000D4C15"/>
    <w:rsid w:val="000D5374"/>
    <w:rsid w:val="000D7AE8"/>
    <w:rsid w:val="000E1ACF"/>
    <w:rsid w:val="000E22C5"/>
    <w:rsid w:val="000E5C88"/>
    <w:rsid w:val="000E6BC7"/>
    <w:rsid w:val="000E735F"/>
    <w:rsid w:val="000F06C2"/>
    <w:rsid w:val="0010064B"/>
    <w:rsid w:val="00101406"/>
    <w:rsid w:val="001027F8"/>
    <w:rsid w:val="00103ABF"/>
    <w:rsid w:val="001044AF"/>
    <w:rsid w:val="001055FE"/>
    <w:rsid w:val="00110E24"/>
    <w:rsid w:val="001117CF"/>
    <w:rsid w:val="00112B8E"/>
    <w:rsid w:val="00114F1C"/>
    <w:rsid w:val="00115232"/>
    <w:rsid w:val="00115586"/>
    <w:rsid w:val="0011713E"/>
    <w:rsid w:val="001228E7"/>
    <w:rsid w:val="001245F1"/>
    <w:rsid w:val="001246D9"/>
    <w:rsid w:val="00130437"/>
    <w:rsid w:val="001309AF"/>
    <w:rsid w:val="00130F47"/>
    <w:rsid w:val="00131815"/>
    <w:rsid w:val="00131ECD"/>
    <w:rsid w:val="00143247"/>
    <w:rsid w:val="00144CDA"/>
    <w:rsid w:val="00145178"/>
    <w:rsid w:val="00145F8E"/>
    <w:rsid w:val="00150DF1"/>
    <w:rsid w:val="00155200"/>
    <w:rsid w:val="00155F1C"/>
    <w:rsid w:val="0015793D"/>
    <w:rsid w:val="00160343"/>
    <w:rsid w:val="00167CB3"/>
    <w:rsid w:val="00173521"/>
    <w:rsid w:val="00173552"/>
    <w:rsid w:val="00185A4C"/>
    <w:rsid w:val="00186CB0"/>
    <w:rsid w:val="00187D66"/>
    <w:rsid w:val="00190987"/>
    <w:rsid w:val="001931E9"/>
    <w:rsid w:val="00195A53"/>
    <w:rsid w:val="00196A73"/>
    <w:rsid w:val="001A0D97"/>
    <w:rsid w:val="001A237A"/>
    <w:rsid w:val="001A26EB"/>
    <w:rsid w:val="001A46D9"/>
    <w:rsid w:val="001A56B7"/>
    <w:rsid w:val="001A56F5"/>
    <w:rsid w:val="001B566E"/>
    <w:rsid w:val="001C00C6"/>
    <w:rsid w:val="001C1773"/>
    <w:rsid w:val="001C6D35"/>
    <w:rsid w:val="001D0DDC"/>
    <w:rsid w:val="001D15F4"/>
    <w:rsid w:val="001D3433"/>
    <w:rsid w:val="001D566D"/>
    <w:rsid w:val="001D62DC"/>
    <w:rsid w:val="001E1F10"/>
    <w:rsid w:val="001E23BB"/>
    <w:rsid w:val="001E2427"/>
    <w:rsid w:val="001E519B"/>
    <w:rsid w:val="001F2B00"/>
    <w:rsid w:val="001F5307"/>
    <w:rsid w:val="001F5D58"/>
    <w:rsid w:val="00205D40"/>
    <w:rsid w:val="00206EAB"/>
    <w:rsid w:val="0021004D"/>
    <w:rsid w:val="00213BC6"/>
    <w:rsid w:val="002152ED"/>
    <w:rsid w:val="00216C7E"/>
    <w:rsid w:val="00222C27"/>
    <w:rsid w:val="00223DD5"/>
    <w:rsid w:val="0022416D"/>
    <w:rsid w:val="00224738"/>
    <w:rsid w:val="002304F0"/>
    <w:rsid w:val="00233B45"/>
    <w:rsid w:val="0023463F"/>
    <w:rsid w:val="0023679E"/>
    <w:rsid w:val="00240F7B"/>
    <w:rsid w:val="002467A8"/>
    <w:rsid w:val="00255529"/>
    <w:rsid w:val="002561A2"/>
    <w:rsid w:val="00256ABC"/>
    <w:rsid w:val="00262A09"/>
    <w:rsid w:val="00262D2B"/>
    <w:rsid w:val="00263C5E"/>
    <w:rsid w:val="00265628"/>
    <w:rsid w:val="002710DB"/>
    <w:rsid w:val="00273F2A"/>
    <w:rsid w:val="00274C59"/>
    <w:rsid w:val="00276379"/>
    <w:rsid w:val="002769EA"/>
    <w:rsid w:val="002771DC"/>
    <w:rsid w:val="00281262"/>
    <w:rsid w:val="00282F2A"/>
    <w:rsid w:val="00283B06"/>
    <w:rsid w:val="00284D3B"/>
    <w:rsid w:val="00285E5D"/>
    <w:rsid w:val="002949F0"/>
    <w:rsid w:val="002A61A7"/>
    <w:rsid w:val="002A755B"/>
    <w:rsid w:val="002A792A"/>
    <w:rsid w:val="002B0E7E"/>
    <w:rsid w:val="002C469D"/>
    <w:rsid w:val="002C5C6D"/>
    <w:rsid w:val="002D4131"/>
    <w:rsid w:val="002D5680"/>
    <w:rsid w:val="002E01AB"/>
    <w:rsid w:val="002E52CB"/>
    <w:rsid w:val="002E53E1"/>
    <w:rsid w:val="002E5498"/>
    <w:rsid w:val="002E56AB"/>
    <w:rsid w:val="002E7D1D"/>
    <w:rsid w:val="002F35F2"/>
    <w:rsid w:val="002F6778"/>
    <w:rsid w:val="003008EB"/>
    <w:rsid w:val="00305214"/>
    <w:rsid w:val="0030539D"/>
    <w:rsid w:val="0030647A"/>
    <w:rsid w:val="00307163"/>
    <w:rsid w:val="0030756F"/>
    <w:rsid w:val="003118A3"/>
    <w:rsid w:val="0032023A"/>
    <w:rsid w:val="00320687"/>
    <w:rsid w:val="00325A9B"/>
    <w:rsid w:val="00326102"/>
    <w:rsid w:val="003279B1"/>
    <w:rsid w:val="00335771"/>
    <w:rsid w:val="00340CDE"/>
    <w:rsid w:val="00342AD3"/>
    <w:rsid w:val="00343F77"/>
    <w:rsid w:val="00346B8F"/>
    <w:rsid w:val="003508C7"/>
    <w:rsid w:val="00351AAF"/>
    <w:rsid w:val="00351CC4"/>
    <w:rsid w:val="00351DD6"/>
    <w:rsid w:val="0035216C"/>
    <w:rsid w:val="0035676E"/>
    <w:rsid w:val="00356868"/>
    <w:rsid w:val="00357504"/>
    <w:rsid w:val="00357B9A"/>
    <w:rsid w:val="00362EFD"/>
    <w:rsid w:val="0036455F"/>
    <w:rsid w:val="0036562A"/>
    <w:rsid w:val="003662DE"/>
    <w:rsid w:val="00371075"/>
    <w:rsid w:val="003728FA"/>
    <w:rsid w:val="003745B6"/>
    <w:rsid w:val="0037494C"/>
    <w:rsid w:val="003765C1"/>
    <w:rsid w:val="00377309"/>
    <w:rsid w:val="00381F97"/>
    <w:rsid w:val="00382A92"/>
    <w:rsid w:val="003836CA"/>
    <w:rsid w:val="00384227"/>
    <w:rsid w:val="00385E6C"/>
    <w:rsid w:val="00387114"/>
    <w:rsid w:val="003901E9"/>
    <w:rsid w:val="003924FA"/>
    <w:rsid w:val="003944F5"/>
    <w:rsid w:val="0039522E"/>
    <w:rsid w:val="0039524A"/>
    <w:rsid w:val="003A20C8"/>
    <w:rsid w:val="003A470A"/>
    <w:rsid w:val="003B3347"/>
    <w:rsid w:val="003B5517"/>
    <w:rsid w:val="003B71FC"/>
    <w:rsid w:val="003B761F"/>
    <w:rsid w:val="003C29E5"/>
    <w:rsid w:val="003D0052"/>
    <w:rsid w:val="003D10CB"/>
    <w:rsid w:val="003D2351"/>
    <w:rsid w:val="003E4376"/>
    <w:rsid w:val="003E5E4D"/>
    <w:rsid w:val="003F0F00"/>
    <w:rsid w:val="003F3D30"/>
    <w:rsid w:val="003F5749"/>
    <w:rsid w:val="00402FB7"/>
    <w:rsid w:val="00403322"/>
    <w:rsid w:val="00404664"/>
    <w:rsid w:val="00412C5F"/>
    <w:rsid w:val="00414C70"/>
    <w:rsid w:val="00415497"/>
    <w:rsid w:val="00416956"/>
    <w:rsid w:val="00426192"/>
    <w:rsid w:val="0043378D"/>
    <w:rsid w:val="00436B9D"/>
    <w:rsid w:val="00440B3C"/>
    <w:rsid w:val="004422CF"/>
    <w:rsid w:val="00444CC2"/>
    <w:rsid w:val="0044522B"/>
    <w:rsid w:val="00447EB0"/>
    <w:rsid w:val="00450D28"/>
    <w:rsid w:val="00455283"/>
    <w:rsid w:val="00455D83"/>
    <w:rsid w:val="00457270"/>
    <w:rsid w:val="0045753A"/>
    <w:rsid w:val="00461FAD"/>
    <w:rsid w:val="004629C3"/>
    <w:rsid w:val="004646AC"/>
    <w:rsid w:val="004656B0"/>
    <w:rsid w:val="00467FF3"/>
    <w:rsid w:val="004715A6"/>
    <w:rsid w:val="00472896"/>
    <w:rsid w:val="00472CAA"/>
    <w:rsid w:val="004740F2"/>
    <w:rsid w:val="00475DB8"/>
    <w:rsid w:val="004770C6"/>
    <w:rsid w:val="00481FE7"/>
    <w:rsid w:val="004844A4"/>
    <w:rsid w:val="00486470"/>
    <w:rsid w:val="00486C08"/>
    <w:rsid w:val="00487850"/>
    <w:rsid w:val="004918C1"/>
    <w:rsid w:val="00493D20"/>
    <w:rsid w:val="00496D2A"/>
    <w:rsid w:val="00497EFD"/>
    <w:rsid w:val="004A1D0C"/>
    <w:rsid w:val="004A7AF5"/>
    <w:rsid w:val="004B0727"/>
    <w:rsid w:val="004B23BE"/>
    <w:rsid w:val="004B2DBA"/>
    <w:rsid w:val="004B3D54"/>
    <w:rsid w:val="004B494E"/>
    <w:rsid w:val="004B6912"/>
    <w:rsid w:val="004C1AD5"/>
    <w:rsid w:val="004C28F3"/>
    <w:rsid w:val="004C3A48"/>
    <w:rsid w:val="004C7DF8"/>
    <w:rsid w:val="004D17F8"/>
    <w:rsid w:val="004D2C2F"/>
    <w:rsid w:val="004D57C6"/>
    <w:rsid w:val="004D690B"/>
    <w:rsid w:val="004D75F8"/>
    <w:rsid w:val="004D79FF"/>
    <w:rsid w:val="004E0077"/>
    <w:rsid w:val="004E239B"/>
    <w:rsid w:val="004E3DED"/>
    <w:rsid w:val="004E5F28"/>
    <w:rsid w:val="004E7891"/>
    <w:rsid w:val="004F0DC6"/>
    <w:rsid w:val="004F47AE"/>
    <w:rsid w:val="004F5513"/>
    <w:rsid w:val="004F5FAA"/>
    <w:rsid w:val="004F63ED"/>
    <w:rsid w:val="004F7296"/>
    <w:rsid w:val="004F7495"/>
    <w:rsid w:val="004F7917"/>
    <w:rsid w:val="00501F2F"/>
    <w:rsid w:val="00505F4E"/>
    <w:rsid w:val="00513168"/>
    <w:rsid w:val="0051316B"/>
    <w:rsid w:val="005156EA"/>
    <w:rsid w:val="00515ECB"/>
    <w:rsid w:val="00517DC2"/>
    <w:rsid w:val="0052284E"/>
    <w:rsid w:val="00524DCB"/>
    <w:rsid w:val="00525A1C"/>
    <w:rsid w:val="00526A6B"/>
    <w:rsid w:val="00536931"/>
    <w:rsid w:val="00540780"/>
    <w:rsid w:val="00541240"/>
    <w:rsid w:val="005448DA"/>
    <w:rsid w:val="0054594C"/>
    <w:rsid w:val="00547B65"/>
    <w:rsid w:val="0055429D"/>
    <w:rsid w:val="0056066C"/>
    <w:rsid w:val="00562804"/>
    <w:rsid w:val="0056280F"/>
    <w:rsid w:val="00562B3E"/>
    <w:rsid w:val="0056328A"/>
    <w:rsid w:val="00565364"/>
    <w:rsid w:val="005678A6"/>
    <w:rsid w:val="005723D3"/>
    <w:rsid w:val="00576F2A"/>
    <w:rsid w:val="00580ADB"/>
    <w:rsid w:val="00580D16"/>
    <w:rsid w:val="00582F9D"/>
    <w:rsid w:val="005853D0"/>
    <w:rsid w:val="005855B3"/>
    <w:rsid w:val="00590A1D"/>
    <w:rsid w:val="00590EBC"/>
    <w:rsid w:val="00592800"/>
    <w:rsid w:val="00593CFE"/>
    <w:rsid w:val="00594327"/>
    <w:rsid w:val="005A304F"/>
    <w:rsid w:val="005A5945"/>
    <w:rsid w:val="005B0AD9"/>
    <w:rsid w:val="005B0E7D"/>
    <w:rsid w:val="005B3A61"/>
    <w:rsid w:val="005B3AFF"/>
    <w:rsid w:val="005B71F6"/>
    <w:rsid w:val="005C2135"/>
    <w:rsid w:val="005C2663"/>
    <w:rsid w:val="005C3F7B"/>
    <w:rsid w:val="005C5F95"/>
    <w:rsid w:val="005C7538"/>
    <w:rsid w:val="005D1772"/>
    <w:rsid w:val="005D18D0"/>
    <w:rsid w:val="005D30FD"/>
    <w:rsid w:val="005D3343"/>
    <w:rsid w:val="005D35B2"/>
    <w:rsid w:val="005D43D2"/>
    <w:rsid w:val="005D7B93"/>
    <w:rsid w:val="005E0CFC"/>
    <w:rsid w:val="005E1574"/>
    <w:rsid w:val="005E32DD"/>
    <w:rsid w:val="005E3D7A"/>
    <w:rsid w:val="005E5E64"/>
    <w:rsid w:val="005E740D"/>
    <w:rsid w:val="005F063D"/>
    <w:rsid w:val="005F07AC"/>
    <w:rsid w:val="005F0BA4"/>
    <w:rsid w:val="005F25AE"/>
    <w:rsid w:val="005F3A49"/>
    <w:rsid w:val="005F3A75"/>
    <w:rsid w:val="006024B5"/>
    <w:rsid w:val="0060418D"/>
    <w:rsid w:val="00604C24"/>
    <w:rsid w:val="00612325"/>
    <w:rsid w:val="006125C1"/>
    <w:rsid w:val="00613BC1"/>
    <w:rsid w:val="00615709"/>
    <w:rsid w:val="0061587A"/>
    <w:rsid w:val="00615FF0"/>
    <w:rsid w:val="0062425F"/>
    <w:rsid w:val="00624448"/>
    <w:rsid w:val="00631C04"/>
    <w:rsid w:val="00632562"/>
    <w:rsid w:val="006352B5"/>
    <w:rsid w:val="00635F27"/>
    <w:rsid w:val="006368A8"/>
    <w:rsid w:val="00636C59"/>
    <w:rsid w:val="006411FE"/>
    <w:rsid w:val="0064231F"/>
    <w:rsid w:val="00642885"/>
    <w:rsid w:val="00651229"/>
    <w:rsid w:val="0065200D"/>
    <w:rsid w:val="00657103"/>
    <w:rsid w:val="00661686"/>
    <w:rsid w:val="00662984"/>
    <w:rsid w:val="006643DA"/>
    <w:rsid w:val="00666067"/>
    <w:rsid w:val="00667A72"/>
    <w:rsid w:val="00676465"/>
    <w:rsid w:val="006848E1"/>
    <w:rsid w:val="006909B9"/>
    <w:rsid w:val="00690FA5"/>
    <w:rsid w:val="00692681"/>
    <w:rsid w:val="006956A2"/>
    <w:rsid w:val="00695FA3"/>
    <w:rsid w:val="00696953"/>
    <w:rsid w:val="006A07B3"/>
    <w:rsid w:val="006A2006"/>
    <w:rsid w:val="006A4C51"/>
    <w:rsid w:val="006A7BD1"/>
    <w:rsid w:val="006B1C6C"/>
    <w:rsid w:val="006B3CB0"/>
    <w:rsid w:val="006B4E39"/>
    <w:rsid w:val="006C086D"/>
    <w:rsid w:val="006C3873"/>
    <w:rsid w:val="006D06E2"/>
    <w:rsid w:val="006D1B7C"/>
    <w:rsid w:val="006D2833"/>
    <w:rsid w:val="006D323D"/>
    <w:rsid w:val="006E2B1C"/>
    <w:rsid w:val="006E3D54"/>
    <w:rsid w:val="006E6C81"/>
    <w:rsid w:val="006F3116"/>
    <w:rsid w:val="006F333D"/>
    <w:rsid w:val="006F4229"/>
    <w:rsid w:val="006F6806"/>
    <w:rsid w:val="006F7977"/>
    <w:rsid w:val="00704B39"/>
    <w:rsid w:val="00706174"/>
    <w:rsid w:val="00706C0B"/>
    <w:rsid w:val="00707F8D"/>
    <w:rsid w:val="00711A0C"/>
    <w:rsid w:val="00712431"/>
    <w:rsid w:val="00713B55"/>
    <w:rsid w:val="0071543C"/>
    <w:rsid w:val="007173A4"/>
    <w:rsid w:val="0072043F"/>
    <w:rsid w:val="00726C92"/>
    <w:rsid w:val="00732D7F"/>
    <w:rsid w:val="00733828"/>
    <w:rsid w:val="00737AB5"/>
    <w:rsid w:val="00740B3D"/>
    <w:rsid w:val="00740D77"/>
    <w:rsid w:val="007410E5"/>
    <w:rsid w:val="00741ED2"/>
    <w:rsid w:val="00743B0C"/>
    <w:rsid w:val="00750200"/>
    <w:rsid w:val="007505DF"/>
    <w:rsid w:val="0075094B"/>
    <w:rsid w:val="00752B19"/>
    <w:rsid w:val="00755BB7"/>
    <w:rsid w:val="00756602"/>
    <w:rsid w:val="0076181E"/>
    <w:rsid w:val="00766458"/>
    <w:rsid w:val="00766EBE"/>
    <w:rsid w:val="007703BF"/>
    <w:rsid w:val="00770F26"/>
    <w:rsid w:val="0077261A"/>
    <w:rsid w:val="00773D9B"/>
    <w:rsid w:val="0077517A"/>
    <w:rsid w:val="007816A0"/>
    <w:rsid w:val="00781A8C"/>
    <w:rsid w:val="007834B3"/>
    <w:rsid w:val="00784133"/>
    <w:rsid w:val="00790D56"/>
    <w:rsid w:val="007932D1"/>
    <w:rsid w:val="00794113"/>
    <w:rsid w:val="00795E5B"/>
    <w:rsid w:val="007A1E17"/>
    <w:rsid w:val="007A2BE4"/>
    <w:rsid w:val="007A367D"/>
    <w:rsid w:val="007A4183"/>
    <w:rsid w:val="007A781B"/>
    <w:rsid w:val="007B275C"/>
    <w:rsid w:val="007B3E33"/>
    <w:rsid w:val="007B68A5"/>
    <w:rsid w:val="007C2A99"/>
    <w:rsid w:val="007D3832"/>
    <w:rsid w:val="007D3CB6"/>
    <w:rsid w:val="007D7144"/>
    <w:rsid w:val="007E265E"/>
    <w:rsid w:val="007E624C"/>
    <w:rsid w:val="007E7320"/>
    <w:rsid w:val="007F0356"/>
    <w:rsid w:val="007F094F"/>
    <w:rsid w:val="007F239C"/>
    <w:rsid w:val="007F5440"/>
    <w:rsid w:val="007F567A"/>
    <w:rsid w:val="007F5A83"/>
    <w:rsid w:val="007F76A8"/>
    <w:rsid w:val="00800ACD"/>
    <w:rsid w:val="00802961"/>
    <w:rsid w:val="0080322F"/>
    <w:rsid w:val="00803A34"/>
    <w:rsid w:val="00807F5E"/>
    <w:rsid w:val="00810866"/>
    <w:rsid w:val="00816C2D"/>
    <w:rsid w:val="00822E07"/>
    <w:rsid w:val="00825323"/>
    <w:rsid w:val="00826B85"/>
    <w:rsid w:val="00830881"/>
    <w:rsid w:val="00837A1F"/>
    <w:rsid w:val="00840A85"/>
    <w:rsid w:val="00844D7C"/>
    <w:rsid w:val="00855EA4"/>
    <w:rsid w:val="0086102C"/>
    <w:rsid w:val="0086390A"/>
    <w:rsid w:val="00865D18"/>
    <w:rsid w:val="00872E26"/>
    <w:rsid w:val="008733CA"/>
    <w:rsid w:val="00874BCF"/>
    <w:rsid w:val="00874CDE"/>
    <w:rsid w:val="00875CD4"/>
    <w:rsid w:val="00877419"/>
    <w:rsid w:val="00877865"/>
    <w:rsid w:val="00882B5D"/>
    <w:rsid w:val="00885156"/>
    <w:rsid w:val="008871A1"/>
    <w:rsid w:val="0089021A"/>
    <w:rsid w:val="0089143C"/>
    <w:rsid w:val="0089700F"/>
    <w:rsid w:val="00897AFA"/>
    <w:rsid w:val="008A089E"/>
    <w:rsid w:val="008A223A"/>
    <w:rsid w:val="008A5288"/>
    <w:rsid w:val="008A5902"/>
    <w:rsid w:val="008A75F1"/>
    <w:rsid w:val="008A75F4"/>
    <w:rsid w:val="008A79CC"/>
    <w:rsid w:val="008B1FC0"/>
    <w:rsid w:val="008B45B6"/>
    <w:rsid w:val="008B50C5"/>
    <w:rsid w:val="008B7941"/>
    <w:rsid w:val="008C5775"/>
    <w:rsid w:val="008C5A4B"/>
    <w:rsid w:val="008D19A4"/>
    <w:rsid w:val="008D2275"/>
    <w:rsid w:val="008D28FC"/>
    <w:rsid w:val="008D59E7"/>
    <w:rsid w:val="008D6C92"/>
    <w:rsid w:val="008E297C"/>
    <w:rsid w:val="008E2C45"/>
    <w:rsid w:val="008E2C63"/>
    <w:rsid w:val="008E40E5"/>
    <w:rsid w:val="008E46E8"/>
    <w:rsid w:val="008F26A3"/>
    <w:rsid w:val="008F4372"/>
    <w:rsid w:val="008F5695"/>
    <w:rsid w:val="0090261F"/>
    <w:rsid w:val="00910498"/>
    <w:rsid w:val="0091270C"/>
    <w:rsid w:val="00920A24"/>
    <w:rsid w:val="00921C87"/>
    <w:rsid w:val="0092201F"/>
    <w:rsid w:val="00923BE1"/>
    <w:rsid w:val="00923D29"/>
    <w:rsid w:val="0092692A"/>
    <w:rsid w:val="0093037C"/>
    <w:rsid w:val="00932FDB"/>
    <w:rsid w:val="0093311D"/>
    <w:rsid w:val="00936480"/>
    <w:rsid w:val="00937C31"/>
    <w:rsid w:val="00940987"/>
    <w:rsid w:val="009420CA"/>
    <w:rsid w:val="00945C81"/>
    <w:rsid w:val="00953B1A"/>
    <w:rsid w:val="00963002"/>
    <w:rsid w:val="0096593C"/>
    <w:rsid w:val="00965F93"/>
    <w:rsid w:val="0097201A"/>
    <w:rsid w:val="00972771"/>
    <w:rsid w:val="00973208"/>
    <w:rsid w:val="00981CEE"/>
    <w:rsid w:val="009823A5"/>
    <w:rsid w:val="00982780"/>
    <w:rsid w:val="0099161D"/>
    <w:rsid w:val="00992059"/>
    <w:rsid w:val="00992681"/>
    <w:rsid w:val="00994D16"/>
    <w:rsid w:val="00995540"/>
    <w:rsid w:val="009959DB"/>
    <w:rsid w:val="00997417"/>
    <w:rsid w:val="009976F4"/>
    <w:rsid w:val="009A5293"/>
    <w:rsid w:val="009A73A1"/>
    <w:rsid w:val="009B2F15"/>
    <w:rsid w:val="009B54C0"/>
    <w:rsid w:val="009C16EC"/>
    <w:rsid w:val="009C731E"/>
    <w:rsid w:val="009D0781"/>
    <w:rsid w:val="009D0BD9"/>
    <w:rsid w:val="009D3492"/>
    <w:rsid w:val="009D3CE3"/>
    <w:rsid w:val="009D471A"/>
    <w:rsid w:val="009D475E"/>
    <w:rsid w:val="009D5486"/>
    <w:rsid w:val="009D57C5"/>
    <w:rsid w:val="009E04AC"/>
    <w:rsid w:val="009E0F26"/>
    <w:rsid w:val="009E4B32"/>
    <w:rsid w:val="009F0BF7"/>
    <w:rsid w:val="009F2587"/>
    <w:rsid w:val="009F3293"/>
    <w:rsid w:val="009F32A1"/>
    <w:rsid w:val="009F5327"/>
    <w:rsid w:val="009F5EAE"/>
    <w:rsid w:val="009F64F9"/>
    <w:rsid w:val="00A00484"/>
    <w:rsid w:val="00A00AEB"/>
    <w:rsid w:val="00A028EA"/>
    <w:rsid w:val="00A0361C"/>
    <w:rsid w:val="00A05197"/>
    <w:rsid w:val="00A07C2D"/>
    <w:rsid w:val="00A11381"/>
    <w:rsid w:val="00A117C9"/>
    <w:rsid w:val="00A11DB8"/>
    <w:rsid w:val="00A13D62"/>
    <w:rsid w:val="00A17C8E"/>
    <w:rsid w:val="00A204D5"/>
    <w:rsid w:val="00A26CC9"/>
    <w:rsid w:val="00A2753F"/>
    <w:rsid w:val="00A305AC"/>
    <w:rsid w:val="00A307A5"/>
    <w:rsid w:val="00A30BA0"/>
    <w:rsid w:val="00A310CC"/>
    <w:rsid w:val="00A32F7F"/>
    <w:rsid w:val="00A33BE4"/>
    <w:rsid w:val="00A40779"/>
    <w:rsid w:val="00A41359"/>
    <w:rsid w:val="00A414BD"/>
    <w:rsid w:val="00A4250B"/>
    <w:rsid w:val="00A45543"/>
    <w:rsid w:val="00A50D42"/>
    <w:rsid w:val="00A5220F"/>
    <w:rsid w:val="00A54E63"/>
    <w:rsid w:val="00A568E8"/>
    <w:rsid w:val="00A57374"/>
    <w:rsid w:val="00A60989"/>
    <w:rsid w:val="00A617A1"/>
    <w:rsid w:val="00A633F7"/>
    <w:rsid w:val="00A65703"/>
    <w:rsid w:val="00A70097"/>
    <w:rsid w:val="00A7100E"/>
    <w:rsid w:val="00A72794"/>
    <w:rsid w:val="00A73ED4"/>
    <w:rsid w:val="00A73FAE"/>
    <w:rsid w:val="00A762DE"/>
    <w:rsid w:val="00A80680"/>
    <w:rsid w:val="00A849E5"/>
    <w:rsid w:val="00A86898"/>
    <w:rsid w:val="00AA070F"/>
    <w:rsid w:val="00AA3A20"/>
    <w:rsid w:val="00AA5316"/>
    <w:rsid w:val="00AB0B93"/>
    <w:rsid w:val="00AB4969"/>
    <w:rsid w:val="00AB4D4D"/>
    <w:rsid w:val="00AB7E0F"/>
    <w:rsid w:val="00AC0A53"/>
    <w:rsid w:val="00AC0EDA"/>
    <w:rsid w:val="00AC14C8"/>
    <w:rsid w:val="00AC4099"/>
    <w:rsid w:val="00AC4B23"/>
    <w:rsid w:val="00AC5D85"/>
    <w:rsid w:val="00AD3610"/>
    <w:rsid w:val="00AD4953"/>
    <w:rsid w:val="00AD515E"/>
    <w:rsid w:val="00AD7ED2"/>
    <w:rsid w:val="00AE0861"/>
    <w:rsid w:val="00AE1E19"/>
    <w:rsid w:val="00AE2349"/>
    <w:rsid w:val="00AE4B4E"/>
    <w:rsid w:val="00AE6CAC"/>
    <w:rsid w:val="00AF0138"/>
    <w:rsid w:val="00AF2136"/>
    <w:rsid w:val="00AF2E16"/>
    <w:rsid w:val="00AF4282"/>
    <w:rsid w:val="00AF5B88"/>
    <w:rsid w:val="00B0039B"/>
    <w:rsid w:val="00B00CAE"/>
    <w:rsid w:val="00B00D85"/>
    <w:rsid w:val="00B043DD"/>
    <w:rsid w:val="00B06211"/>
    <w:rsid w:val="00B06F4D"/>
    <w:rsid w:val="00B110BA"/>
    <w:rsid w:val="00B144AA"/>
    <w:rsid w:val="00B230B3"/>
    <w:rsid w:val="00B232F7"/>
    <w:rsid w:val="00B271A6"/>
    <w:rsid w:val="00B27396"/>
    <w:rsid w:val="00B3147A"/>
    <w:rsid w:val="00B3392B"/>
    <w:rsid w:val="00B351AF"/>
    <w:rsid w:val="00B36676"/>
    <w:rsid w:val="00B370D1"/>
    <w:rsid w:val="00B37B29"/>
    <w:rsid w:val="00B37C74"/>
    <w:rsid w:val="00B410B6"/>
    <w:rsid w:val="00B41AA3"/>
    <w:rsid w:val="00B42113"/>
    <w:rsid w:val="00B44DDD"/>
    <w:rsid w:val="00B452AE"/>
    <w:rsid w:val="00B4575F"/>
    <w:rsid w:val="00B458D0"/>
    <w:rsid w:val="00B459ED"/>
    <w:rsid w:val="00B50045"/>
    <w:rsid w:val="00B5202F"/>
    <w:rsid w:val="00B53E11"/>
    <w:rsid w:val="00B55382"/>
    <w:rsid w:val="00B570E7"/>
    <w:rsid w:val="00B60F94"/>
    <w:rsid w:val="00B61ECF"/>
    <w:rsid w:val="00B62DE0"/>
    <w:rsid w:val="00B64D7F"/>
    <w:rsid w:val="00B73C4B"/>
    <w:rsid w:val="00B77CDC"/>
    <w:rsid w:val="00B80BF9"/>
    <w:rsid w:val="00B82EA5"/>
    <w:rsid w:val="00B837E6"/>
    <w:rsid w:val="00B9357E"/>
    <w:rsid w:val="00B94EA8"/>
    <w:rsid w:val="00B97204"/>
    <w:rsid w:val="00BA175F"/>
    <w:rsid w:val="00BA6BE7"/>
    <w:rsid w:val="00BA7EC3"/>
    <w:rsid w:val="00BB0670"/>
    <w:rsid w:val="00BB37AA"/>
    <w:rsid w:val="00BB3CFA"/>
    <w:rsid w:val="00BB7280"/>
    <w:rsid w:val="00BC1CC7"/>
    <w:rsid w:val="00BC1D05"/>
    <w:rsid w:val="00BC267D"/>
    <w:rsid w:val="00BC31C4"/>
    <w:rsid w:val="00BC4F3A"/>
    <w:rsid w:val="00BC646D"/>
    <w:rsid w:val="00BC7211"/>
    <w:rsid w:val="00BC78EA"/>
    <w:rsid w:val="00BD08A5"/>
    <w:rsid w:val="00BD0EDE"/>
    <w:rsid w:val="00BD202B"/>
    <w:rsid w:val="00BD2F71"/>
    <w:rsid w:val="00BE17C9"/>
    <w:rsid w:val="00BE3655"/>
    <w:rsid w:val="00BF14C6"/>
    <w:rsid w:val="00BF22DC"/>
    <w:rsid w:val="00BF26FE"/>
    <w:rsid w:val="00BF3778"/>
    <w:rsid w:val="00BF46AF"/>
    <w:rsid w:val="00BF6440"/>
    <w:rsid w:val="00BF7551"/>
    <w:rsid w:val="00C01DF3"/>
    <w:rsid w:val="00C0438E"/>
    <w:rsid w:val="00C07768"/>
    <w:rsid w:val="00C12605"/>
    <w:rsid w:val="00C158F6"/>
    <w:rsid w:val="00C20A65"/>
    <w:rsid w:val="00C22823"/>
    <w:rsid w:val="00C24283"/>
    <w:rsid w:val="00C252AC"/>
    <w:rsid w:val="00C26963"/>
    <w:rsid w:val="00C2740E"/>
    <w:rsid w:val="00C27907"/>
    <w:rsid w:val="00C279BD"/>
    <w:rsid w:val="00C32752"/>
    <w:rsid w:val="00C334BB"/>
    <w:rsid w:val="00C33A99"/>
    <w:rsid w:val="00C3721A"/>
    <w:rsid w:val="00C3735F"/>
    <w:rsid w:val="00C40142"/>
    <w:rsid w:val="00C41465"/>
    <w:rsid w:val="00C41E36"/>
    <w:rsid w:val="00C47B73"/>
    <w:rsid w:val="00C54747"/>
    <w:rsid w:val="00C57690"/>
    <w:rsid w:val="00C60F46"/>
    <w:rsid w:val="00C61618"/>
    <w:rsid w:val="00C61A1D"/>
    <w:rsid w:val="00C63990"/>
    <w:rsid w:val="00C70DB5"/>
    <w:rsid w:val="00C7138F"/>
    <w:rsid w:val="00C7341E"/>
    <w:rsid w:val="00C74111"/>
    <w:rsid w:val="00C75985"/>
    <w:rsid w:val="00C7643F"/>
    <w:rsid w:val="00C77EAA"/>
    <w:rsid w:val="00C8056A"/>
    <w:rsid w:val="00C805DC"/>
    <w:rsid w:val="00C8331D"/>
    <w:rsid w:val="00C85055"/>
    <w:rsid w:val="00C93B09"/>
    <w:rsid w:val="00C94C9E"/>
    <w:rsid w:val="00C950B3"/>
    <w:rsid w:val="00C97BDE"/>
    <w:rsid w:val="00C97CC2"/>
    <w:rsid w:val="00CA1D20"/>
    <w:rsid w:val="00CA4E6D"/>
    <w:rsid w:val="00CA4F14"/>
    <w:rsid w:val="00CA590F"/>
    <w:rsid w:val="00CA70FF"/>
    <w:rsid w:val="00CA78BA"/>
    <w:rsid w:val="00CB0176"/>
    <w:rsid w:val="00CB29C2"/>
    <w:rsid w:val="00CB68C1"/>
    <w:rsid w:val="00CC557F"/>
    <w:rsid w:val="00CD04DC"/>
    <w:rsid w:val="00CD10A7"/>
    <w:rsid w:val="00CD1E2D"/>
    <w:rsid w:val="00CD1FC9"/>
    <w:rsid w:val="00CD6269"/>
    <w:rsid w:val="00CE196B"/>
    <w:rsid w:val="00CE2D7B"/>
    <w:rsid w:val="00CE2FCC"/>
    <w:rsid w:val="00CE43E2"/>
    <w:rsid w:val="00CE4891"/>
    <w:rsid w:val="00CE5E86"/>
    <w:rsid w:val="00CF6B05"/>
    <w:rsid w:val="00D0090F"/>
    <w:rsid w:val="00D02F7E"/>
    <w:rsid w:val="00D039D0"/>
    <w:rsid w:val="00D03B5E"/>
    <w:rsid w:val="00D05E97"/>
    <w:rsid w:val="00D06540"/>
    <w:rsid w:val="00D06756"/>
    <w:rsid w:val="00D070BF"/>
    <w:rsid w:val="00D1082F"/>
    <w:rsid w:val="00D11734"/>
    <w:rsid w:val="00D13CBD"/>
    <w:rsid w:val="00D14386"/>
    <w:rsid w:val="00D1442C"/>
    <w:rsid w:val="00D16307"/>
    <w:rsid w:val="00D224D1"/>
    <w:rsid w:val="00D22DA8"/>
    <w:rsid w:val="00D253B5"/>
    <w:rsid w:val="00D27B93"/>
    <w:rsid w:val="00D302A4"/>
    <w:rsid w:val="00D332F8"/>
    <w:rsid w:val="00D34C3E"/>
    <w:rsid w:val="00D35F1F"/>
    <w:rsid w:val="00D36281"/>
    <w:rsid w:val="00D36B69"/>
    <w:rsid w:val="00D44EC2"/>
    <w:rsid w:val="00D45D8A"/>
    <w:rsid w:val="00D502D9"/>
    <w:rsid w:val="00D54299"/>
    <w:rsid w:val="00D55907"/>
    <w:rsid w:val="00D5733D"/>
    <w:rsid w:val="00D57F1D"/>
    <w:rsid w:val="00D57F46"/>
    <w:rsid w:val="00D602F9"/>
    <w:rsid w:val="00D63DEA"/>
    <w:rsid w:val="00D64BFD"/>
    <w:rsid w:val="00D65BCE"/>
    <w:rsid w:val="00D75C2F"/>
    <w:rsid w:val="00D7796D"/>
    <w:rsid w:val="00D81CEA"/>
    <w:rsid w:val="00D93BB7"/>
    <w:rsid w:val="00D97989"/>
    <w:rsid w:val="00DA0420"/>
    <w:rsid w:val="00DA06CD"/>
    <w:rsid w:val="00DA4992"/>
    <w:rsid w:val="00DA5FA1"/>
    <w:rsid w:val="00DA6802"/>
    <w:rsid w:val="00DA6CB5"/>
    <w:rsid w:val="00DA7752"/>
    <w:rsid w:val="00DB087D"/>
    <w:rsid w:val="00DB42B2"/>
    <w:rsid w:val="00DC122B"/>
    <w:rsid w:val="00DC184D"/>
    <w:rsid w:val="00DC1EC1"/>
    <w:rsid w:val="00DC6964"/>
    <w:rsid w:val="00DD0D1B"/>
    <w:rsid w:val="00DD0D98"/>
    <w:rsid w:val="00DD7D95"/>
    <w:rsid w:val="00DE5505"/>
    <w:rsid w:val="00DE5D4E"/>
    <w:rsid w:val="00DF0370"/>
    <w:rsid w:val="00DF3749"/>
    <w:rsid w:val="00DF4062"/>
    <w:rsid w:val="00DF45C8"/>
    <w:rsid w:val="00DF5AD8"/>
    <w:rsid w:val="00E0438A"/>
    <w:rsid w:val="00E05129"/>
    <w:rsid w:val="00E119C3"/>
    <w:rsid w:val="00E11BED"/>
    <w:rsid w:val="00E12635"/>
    <w:rsid w:val="00E12A5A"/>
    <w:rsid w:val="00E172BF"/>
    <w:rsid w:val="00E25DDF"/>
    <w:rsid w:val="00E31CE4"/>
    <w:rsid w:val="00E32D9C"/>
    <w:rsid w:val="00E36B64"/>
    <w:rsid w:val="00E426D6"/>
    <w:rsid w:val="00E44043"/>
    <w:rsid w:val="00E46937"/>
    <w:rsid w:val="00E47263"/>
    <w:rsid w:val="00E513AC"/>
    <w:rsid w:val="00E56302"/>
    <w:rsid w:val="00E57D40"/>
    <w:rsid w:val="00E60521"/>
    <w:rsid w:val="00E62879"/>
    <w:rsid w:val="00E64EEE"/>
    <w:rsid w:val="00E651ED"/>
    <w:rsid w:val="00E7050D"/>
    <w:rsid w:val="00E7298C"/>
    <w:rsid w:val="00E72A3F"/>
    <w:rsid w:val="00E73534"/>
    <w:rsid w:val="00E745A2"/>
    <w:rsid w:val="00E75B7C"/>
    <w:rsid w:val="00E816B1"/>
    <w:rsid w:val="00E85A4D"/>
    <w:rsid w:val="00E85AE3"/>
    <w:rsid w:val="00E86086"/>
    <w:rsid w:val="00E863E1"/>
    <w:rsid w:val="00E87F3A"/>
    <w:rsid w:val="00E917BF"/>
    <w:rsid w:val="00E94A5E"/>
    <w:rsid w:val="00E94ED5"/>
    <w:rsid w:val="00E97F6E"/>
    <w:rsid w:val="00EA0A91"/>
    <w:rsid w:val="00EA14ED"/>
    <w:rsid w:val="00EA19EC"/>
    <w:rsid w:val="00EA1BD2"/>
    <w:rsid w:val="00EA59D7"/>
    <w:rsid w:val="00EA6085"/>
    <w:rsid w:val="00EB1357"/>
    <w:rsid w:val="00EC01AF"/>
    <w:rsid w:val="00EC3B6B"/>
    <w:rsid w:val="00EC6A0A"/>
    <w:rsid w:val="00EC6AC7"/>
    <w:rsid w:val="00EC6B03"/>
    <w:rsid w:val="00EC7383"/>
    <w:rsid w:val="00ED12E5"/>
    <w:rsid w:val="00ED2885"/>
    <w:rsid w:val="00ED352D"/>
    <w:rsid w:val="00ED6B91"/>
    <w:rsid w:val="00EE1993"/>
    <w:rsid w:val="00EE2B2B"/>
    <w:rsid w:val="00EE2BA1"/>
    <w:rsid w:val="00EE3C72"/>
    <w:rsid w:val="00EE44D1"/>
    <w:rsid w:val="00EE6FC6"/>
    <w:rsid w:val="00EF41ED"/>
    <w:rsid w:val="00EF5DE2"/>
    <w:rsid w:val="00EF5E81"/>
    <w:rsid w:val="00EF68C9"/>
    <w:rsid w:val="00EF76A2"/>
    <w:rsid w:val="00EF7B3B"/>
    <w:rsid w:val="00F01B93"/>
    <w:rsid w:val="00F01E4F"/>
    <w:rsid w:val="00F02D7F"/>
    <w:rsid w:val="00F05ECE"/>
    <w:rsid w:val="00F12B0D"/>
    <w:rsid w:val="00F13862"/>
    <w:rsid w:val="00F1442B"/>
    <w:rsid w:val="00F2199A"/>
    <w:rsid w:val="00F22071"/>
    <w:rsid w:val="00F220E2"/>
    <w:rsid w:val="00F236DF"/>
    <w:rsid w:val="00F23E57"/>
    <w:rsid w:val="00F316BA"/>
    <w:rsid w:val="00F33144"/>
    <w:rsid w:val="00F33B39"/>
    <w:rsid w:val="00F40683"/>
    <w:rsid w:val="00F43F2E"/>
    <w:rsid w:val="00F4413E"/>
    <w:rsid w:val="00F4484F"/>
    <w:rsid w:val="00F44EBA"/>
    <w:rsid w:val="00F45653"/>
    <w:rsid w:val="00F45710"/>
    <w:rsid w:val="00F469C9"/>
    <w:rsid w:val="00F52B6D"/>
    <w:rsid w:val="00F556ED"/>
    <w:rsid w:val="00F5614A"/>
    <w:rsid w:val="00F56632"/>
    <w:rsid w:val="00F57B66"/>
    <w:rsid w:val="00F6158A"/>
    <w:rsid w:val="00F634EA"/>
    <w:rsid w:val="00F63FB6"/>
    <w:rsid w:val="00F64E13"/>
    <w:rsid w:val="00F65909"/>
    <w:rsid w:val="00F65E14"/>
    <w:rsid w:val="00F74161"/>
    <w:rsid w:val="00F801CA"/>
    <w:rsid w:val="00F819D3"/>
    <w:rsid w:val="00F827A2"/>
    <w:rsid w:val="00F859E3"/>
    <w:rsid w:val="00F85F86"/>
    <w:rsid w:val="00F8698D"/>
    <w:rsid w:val="00F90A9B"/>
    <w:rsid w:val="00F9168D"/>
    <w:rsid w:val="00F971E8"/>
    <w:rsid w:val="00FA1722"/>
    <w:rsid w:val="00FA18D5"/>
    <w:rsid w:val="00FB0951"/>
    <w:rsid w:val="00FB1A40"/>
    <w:rsid w:val="00FB2E3E"/>
    <w:rsid w:val="00FB4792"/>
    <w:rsid w:val="00FB4E07"/>
    <w:rsid w:val="00FC2FB5"/>
    <w:rsid w:val="00FC4526"/>
    <w:rsid w:val="00FC52F4"/>
    <w:rsid w:val="00FD0315"/>
    <w:rsid w:val="00FD0BBC"/>
    <w:rsid w:val="00FD2F89"/>
    <w:rsid w:val="00FE4EED"/>
    <w:rsid w:val="00FF6E72"/>
    <w:rsid w:val="00FF7AC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F449FC"/>
  <w15:docId w15:val="{9361F2BF-7FE5-BC41-98D3-666AC88B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4E07"/>
    <w:pPr>
      <w:keepNext/>
      <w:keepLines/>
      <w:spacing w:before="480" w:after="0" w:line="240" w:lineRule="auto"/>
      <w:outlineLvl w:val="0"/>
    </w:pPr>
    <w:rPr>
      <w:rFonts w:asciiTheme="majorHAnsi" w:eastAsiaTheme="majorEastAsia" w:hAnsiTheme="majorHAnsi" w:cstheme="majorBidi"/>
      <w:b/>
      <w:bCs/>
      <w:color w:val="256883" w:themeColor="accent1" w:themeShade="B5"/>
      <w:sz w:val="32"/>
      <w:szCs w:val="32"/>
      <w:lang w:val="en-US"/>
    </w:rPr>
  </w:style>
  <w:style w:type="paragraph" w:styleId="Heading2">
    <w:name w:val="heading 2"/>
    <w:basedOn w:val="Normal"/>
    <w:next w:val="Normal"/>
    <w:link w:val="Heading2Char"/>
    <w:uiPriority w:val="9"/>
    <w:unhideWhenUsed/>
    <w:qFormat/>
    <w:rsid w:val="00FB4E07"/>
    <w:pPr>
      <w:keepNext/>
      <w:keepLines/>
      <w:spacing w:before="200" w:after="0" w:line="240" w:lineRule="auto"/>
      <w:outlineLvl w:val="1"/>
    </w:pPr>
    <w:rPr>
      <w:rFonts w:asciiTheme="majorHAnsi" w:eastAsiaTheme="majorEastAsia" w:hAnsiTheme="majorHAnsi" w:cstheme="majorBidi"/>
      <w:b/>
      <w:bCs/>
      <w:color w:val="3494BA" w:themeColor="accent1"/>
      <w:sz w:val="26"/>
      <w:szCs w:val="26"/>
      <w:lang w:val="en-US"/>
    </w:rPr>
  </w:style>
  <w:style w:type="paragraph" w:styleId="Heading3">
    <w:name w:val="heading 3"/>
    <w:basedOn w:val="Normal"/>
    <w:next w:val="Normal"/>
    <w:link w:val="Heading3Char"/>
    <w:uiPriority w:val="9"/>
    <w:unhideWhenUsed/>
    <w:qFormat/>
    <w:rsid w:val="003008EB"/>
    <w:pPr>
      <w:keepNext/>
      <w:keepLines/>
      <w:spacing w:before="200" w:after="0"/>
      <w:outlineLvl w:val="2"/>
    </w:pPr>
    <w:rPr>
      <w:rFonts w:asciiTheme="majorHAnsi" w:eastAsiaTheme="majorEastAsia" w:hAnsiTheme="majorHAnsi" w:cstheme="majorBidi"/>
      <w:b/>
      <w:bCs/>
      <w:color w:val="3494B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EA8"/>
    <w:pPr>
      <w:tabs>
        <w:tab w:val="center" w:pos="4419"/>
        <w:tab w:val="right" w:pos="8838"/>
      </w:tabs>
      <w:spacing w:after="0" w:line="240" w:lineRule="auto"/>
    </w:pPr>
  </w:style>
  <w:style w:type="character" w:customStyle="1" w:styleId="HeaderChar">
    <w:name w:val="Header Char"/>
    <w:basedOn w:val="DefaultParagraphFont"/>
    <w:link w:val="Header"/>
    <w:uiPriority w:val="99"/>
    <w:rsid w:val="00B94EA8"/>
  </w:style>
  <w:style w:type="paragraph" w:styleId="Footer">
    <w:name w:val="footer"/>
    <w:basedOn w:val="Normal"/>
    <w:link w:val="FooterChar"/>
    <w:uiPriority w:val="99"/>
    <w:unhideWhenUsed/>
    <w:rsid w:val="00B94EA8"/>
    <w:pPr>
      <w:tabs>
        <w:tab w:val="center" w:pos="4419"/>
        <w:tab w:val="right" w:pos="8838"/>
      </w:tabs>
      <w:spacing w:after="0" w:line="240" w:lineRule="auto"/>
    </w:pPr>
  </w:style>
  <w:style w:type="character" w:customStyle="1" w:styleId="FooterChar">
    <w:name w:val="Footer Char"/>
    <w:basedOn w:val="DefaultParagraphFont"/>
    <w:link w:val="Footer"/>
    <w:uiPriority w:val="99"/>
    <w:rsid w:val="00B94EA8"/>
  </w:style>
  <w:style w:type="paragraph" w:styleId="BalloonText">
    <w:name w:val="Balloon Text"/>
    <w:basedOn w:val="Normal"/>
    <w:link w:val="BalloonTextChar"/>
    <w:uiPriority w:val="99"/>
    <w:semiHidden/>
    <w:unhideWhenUsed/>
    <w:rsid w:val="00B94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EA8"/>
    <w:rPr>
      <w:rFonts w:ascii="Tahoma" w:hAnsi="Tahoma" w:cs="Tahoma"/>
      <w:sz w:val="16"/>
      <w:szCs w:val="16"/>
    </w:rPr>
  </w:style>
  <w:style w:type="character" w:styleId="PageNumber">
    <w:name w:val="page number"/>
    <w:basedOn w:val="DefaultParagraphFont"/>
    <w:uiPriority w:val="99"/>
    <w:semiHidden/>
    <w:unhideWhenUsed/>
    <w:rsid w:val="00784133"/>
  </w:style>
  <w:style w:type="paragraph" w:styleId="ListParagraph">
    <w:name w:val="List Paragraph"/>
    <w:aliases w:val="Dot pt,Numbered Para 1,List Paragraph Char Char Char,Indicator Text,Bullet 1,Bullet Points,MAIN CONTENT,IFCL - List Paragraph,List Paragraph12,OBC Bullet,F5 List Paragraph,Colorful List - Accent 11,List Paragraph1,Recommendation,L"/>
    <w:basedOn w:val="Normal"/>
    <w:link w:val="ListParagraphChar"/>
    <w:uiPriority w:val="34"/>
    <w:qFormat/>
    <w:rsid w:val="00784133"/>
    <w:pPr>
      <w:ind w:left="720"/>
      <w:contextualSpacing/>
    </w:pPr>
  </w:style>
  <w:style w:type="character" w:customStyle="1" w:styleId="Heading1Char">
    <w:name w:val="Heading 1 Char"/>
    <w:basedOn w:val="DefaultParagraphFont"/>
    <w:link w:val="Heading1"/>
    <w:uiPriority w:val="9"/>
    <w:rsid w:val="00FB4E07"/>
    <w:rPr>
      <w:rFonts w:asciiTheme="majorHAnsi" w:eastAsiaTheme="majorEastAsia" w:hAnsiTheme="majorHAnsi" w:cstheme="majorBidi"/>
      <w:b/>
      <w:bCs/>
      <w:color w:val="256883" w:themeColor="accent1" w:themeShade="B5"/>
      <w:sz w:val="32"/>
      <w:szCs w:val="32"/>
      <w:lang w:val="en-US"/>
    </w:rPr>
  </w:style>
  <w:style w:type="character" w:customStyle="1" w:styleId="Heading2Char">
    <w:name w:val="Heading 2 Char"/>
    <w:basedOn w:val="DefaultParagraphFont"/>
    <w:link w:val="Heading2"/>
    <w:uiPriority w:val="9"/>
    <w:rsid w:val="00FB4E07"/>
    <w:rPr>
      <w:rFonts w:asciiTheme="majorHAnsi" w:eastAsiaTheme="majorEastAsia" w:hAnsiTheme="majorHAnsi" w:cstheme="majorBidi"/>
      <w:b/>
      <w:bCs/>
      <w:color w:val="3494BA" w:themeColor="accent1"/>
      <w:sz w:val="26"/>
      <w:szCs w:val="26"/>
      <w:lang w:val="en-US"/>
    </w:rPr>
  </w:style>
  <w:style w:type="character" w:customStyle="1" w:styleId="Sombreadovistoso-nfasis3Car">
    <w:name w:val="Sombreado vistoso - Énfasis 3 Car"/>
    <w:link w:val="ColourfulShadingAccent3"/>
    <w:uiPriority w:val="34"/>
    <w:locked/>
    <w:rsid w:val="00D44EC2"/>
  </w:style>
  <w:style w:type="paragraph" w:styleId="FootnoteText">
    <w:name w:val="footnote text"/>
    <w:aliases w:val="5_G,Footnote Text Char1 Char,Footnote Text Char Char Char,Footnote Text Char1 Char Char Char,Footnote Text Char Char Char Char Char,Footnote Text Char1 Char Char Char Char Char,Geneva 9,Font: Geneva 9,Boston 10,f,fn,footnote text,E Fußn"/>
    <w:basedOn w:val="Normal"/>
    <w:link w:val="FootnoteTextChar"/>
    <w:uiPriority w:val="99"/>
    <w:unhideWhenUsed/>
    <w:qFormat/>
    <w:rsid w:val="00D44EC2"/>
    <w:pPr>
      <w:spacing w:after="0" w:line="240" w:lineRule="auto"/>
    </w:pPr>
    <w:rPr>
      <w:rFonts w:ascii="Calibri" w:eastAsia="Calibri" w:hAnsi="Calibri" w:cs="Times New Roman"/>
      <w:sz w:val="24"/>
      <w:szCs w:val="24"/>
    </w:rPr>
  </w:style>
  <w:style w:type="character" w:customStyle="1" w:styleId="FootnoteTextChar">
    <w:name w:val="Footnote Text Char"/>
    <w:aliases w:val="5_G Char,Footnote Text Char1 Char Char,Footnote Text Char Char Char Char,Footnote Text Char1 Char Char Char Char,Footnote Text Char Char Char Char Char Char,Footnote Text Char1 Char Char Char Char Char Char,Geneva 9 Char,f Char"/>
    <w:basedOn w:val="DefaultParagraphFont"/>
    <w:link w:val="FootnoteText"/>
    <w:uiPriority w:val="99"/>
    <w:rsid w:val="00D44EC2"/>
    <w:rPr>
      <w:rFonts w:ascii="Calibri" w:eastAsia="Calibri" w:hAnsi="Calibri" w:cs="Times New Roman"/>
      <w:sz w:val="24"/>
      <w:szCs w:val="24"/>
    </w:rPr>
  </w:style>
  <w:style w:type="character" w:styleId="FootnoteReference">
    <w:name w:val="footnote reference"/>
    <w:aliases w:val="4_G,E FNZ,-E Fußnotenzeichen,Footnote#,16 Point,Superscript 6 Point,ftref,Superscript 6 Point + 11 pt,Appel note de bas de page,Car Car Char Car Char Car Car Char Car Char Char,fr,Ref,de nota al pie,SUPERS"/>
    <w:uiPriority w:val="99"/>
    <w:unhideWhenUsed/>
    <w:qFormat/>
    <w:rsid w:val="00D44EC2"/>
    <w:rPr>
      <w:vertAlign w:val="superscript"/>
    </w:rPr>
  </w:style>
  <w:style w:type="table" w:styleId="ColourfulShadingAccent3">
    <w:name w:val="Colorful Shading Accent 3"/>
    <w:basedOn w:val="TableNormal"/>
    <w:link w:val="Sombreadovistoso-nfasis3Car"/>
    <w:uiPriority w:val="34"/>
    <w:semiHidden/>
    <w:unhideWhenUsed/>
    <w:rsid w:val="00D44EC2"/>
    <w:pPr>
      <w:spacing w:after="0" w:line="240" w:lineRule="auto"/>
    </w:p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3B7C68" w:themeFill="accent3" w:themeFillShade="99"/>
      </w:tcPr>
    </w:tblStylePr>
    <w:tblStylePr w:type="firstCol">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character" w:styleId="IntenseReference">
    <w:name w:val="Intense Reference"/>
    <w:basedOn w:val="DefaultParagraphFont"/>
    <w:uiPriority w:val="32"/>
    <w:qFormat/>
    <w:rsid w:val="007F5440"/>
    <w:rPr>
      <w:b/>
      <w:bCs/>
      <w:smallCaps/>
      <w:color w:val="3494BA" w:themeColor="accent1"/>
      <w:spacing w:val="5"/>
    </w:rPr>
  </w:style>
  <w:style w:type="character" w:customStyle="1" w:styleId="ListParagraphChar">
    <w:name w:val="List Paragraph Char"/>
    <w:aliases w:val="Dot pt Char,Numbered Para 1 Char,List Paragraph Char Char Char Char,Indicator Text Char,Bullet 1 Char,Bullet Points Char,MAIN CONTENT Char,IFCL - List Paragraph Char,List Paragraph12 Char,OBC Bullet Char,F5 List Paragraph Char,L Char"/>
    <w:basedOn w:val="DefaultParagraphFont"/>
    <w:link w:val="ListParagraph"/>
    <w:uiPriority w:val="34"/>
    <w:qFormat/>
    <w:locked/>
    <w:rsid w:val="00CA4F14"/>
  </w:style>
  <w:style w:type="character" w:styleId="Hyperlink">
    <w:name w:val="Hyperlink"/>
    <w:basedOn w:val="DefaultParagraphFont"/>
    <w:uiPriority w:val="99"/>
    <w:unhideWhenUsed/>
    <w:rsid w:val="005B0AD9"/>
    <w:rPr>
      <w:color w:val="6B9F25" w:themeColor="hyperlink"/>
      <w:u w:val="single"/>
    </w:rPr>
  </w:style>
  <w:style w:type="character" w:styleId="CommentReference">
    <w:name w:val="annotation reference"/>
    <w:basedOn w:val="DefaultParagraphFont"/>
    <w:uiPriority w:val="99"/>
    <w:semiHidden/>
    <w:unhideWhenUsed/>
    <w:rsid w:val="00953B1A"/>
    <w:rPr>
      <w:sz w:val="18"/>
      <w:szCs w:val="18"/>
    </w:rPr>
  </w:style>
  <w:style w:type="paragraph" w:styleId="CommentText">
    <w:name w:val="annotation text"/>
    <w:basedOn w:val="Normal"/>
    <w:link w:val="CommentTextChar"/>
    <w:uiPriority w:val="99"/>
    <w:unhideWhenUsed/>
    <w:rsid w:val="00953B1A"/>
    <w:pPr>
      <w:spacing w:line="240" w:lineRule="auto"/>
    </w:pPr>
    <w:rPr>
      <w:sz w:val="24"/>
      <w:szCs w:val="24"/>
    </w:rPr>
  </w:style>
  <w:style w:type="character" w:customStyle="1" w:styleId="CommentTextChar">
    <w:name w:val="Comment Text Char"/>
    <w:basedOn w:val="DefaultParagraphFont"/>
    <w:link w:val="CommentText"/>
    <w:uiPriority w:val="99"/>
    <w:rsid w:val="00953B1A"/>
    <w:rPr>
      <w:sz w:val="24"/>
      <w:szCs w:val="24"/>
    </w:rPr>
  </w:style>
  <w:style w:type="paragraph" w:styleId="CommentSubject">
    <w:name w:val="annotation subject"/>
    <w:basedOn w:val="CommentText"/>
    <w:next w:val="CommentText"/>
    <w:link w:val="CommentSubjectChar"/>
    <w:uiPriority w:val="99"/>
    <w:semiHidden/>
    <w:unhideWhenUsed/>
    <w:rsid w:val="00953B1A"/>
    <w:rPr>
      <w:b/>
      <w:bCs/>
      <w:sz w:val="20"/>
      <w:szCs w:val="20"/>
    </w:rPr>
  </w:style>
  <w:style w:type="character" w:customStyle="1" w:styleId="CommentSubjectChar">
    <w:name w:val="Comment Subject Char"/>
    <w:basedOn w:val="CommentTextChar"/>
    <w:link w:val="CommentSubject"/>
    <w:uiPriority w:val="99"/>
    <w:semiHidden/>
    <w:rsid w:val="00953B1A"/>
    <w:rPr>
      <w:b/>
      <w:bCs/>
      <w:sz w:val="20"/>
      <w:szCs w:val="20"/>
    </w:rPr>
  </w:style>
  <w:style w:type="table" w:styleId="TableGrid">
    <w:name w:val="Table Grid"/>
    <w:basedOn w:val="TableNormal"/>
    <w:uiPriority w:val="59"/>
    <w:rsid w:val="00042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4224D"/>
    <w:pPr>
      <w:spacing w:after="0" w:line="240" w:lineRule="auto"/>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paragraph" w:customStyle="1" w:styleId="m-291136318526070478msolistparagraph">
    <w:name w:val="m_-291136318526070478msolistparagraph"/>
    <w:basedOn w:val="Normal"/>
    <w:rsid w:val="0089021A"/>
    <w:pPr>
      <w:spacing w:before="100" w:beforeAutospacing="1" w:after="100" w:afterAutospacing="1" w:line="240" w:lineRule="auto"/>
    </w:pPr>
    <w:rPr>
      <w:rFonts w:ascii="Times" w:hAnsi="Times"/>
      <w:sz w:val="20"/>
      <w:szCs w:val="20"/>
      <w:lang w:val="es-ES_tradnl" w:eastAsia="es-ES"/>
    </w:rPr>
  </w:style>
  <w:style w:type="character" w:customStyle="1" w:styleId="apple-converted-space">
    <w:name w:val="apple-converted-space"/>
    <w:basedOn w:val="DefaultParagraphFont"/>
    <w:rsid w:val="0089021A"/>
  </w:style>
  <w:style w:type="character" w:customStyle="1" w:styleId="Heading3Char">
    <w:name w:val="Heading 3 Char"/>
    <w:basedOn w:val="DefaultParagraphFont"/>
    <w:link w:val="Heading3"/>
    <w:uiPriority w:val="9"/>
    <w:rsid w:val="003008EB"/>
    <w:rPr>
      <w:rFonts w:asciiTheme="majorHAnsi" w:eastAsiaTheme="majorEastAsia" w:hAnsiTheme="majorHAnsi" w:cstheme="majorBidi"/>
      <w:b/>
      <w:bCs/>
      <w:color w:val="3494BA" w:themeColor="accent1"/>
    </w:rPr>
  </w:style>
  <w:style w:type="paragraph" w:styleId="NormalWeb">
    <w:name w:val="Normal (Web)"/>
    <w:basedOn w:val="Normal"/>
    <w:uiPriority w:val="99"/>
    <w:unhideWhenUsed/>
    <w:rsid w:val="001C1773"/>
    <w:pPr>
      <w:spacing w:before="100" w:beforeAutospacing="1" w:after="100" w:afterAutospacing="1" w:line="240" w:lineRule="auto"/>
    </w:pPr>
    <w:rPr>
      <w:rFonts w:ascii="Times" w:hAnsi="Times" w:cs="Times New Roman"/>
      <w:sz w:val="20"/>
      <w:szCs w:val="20"/>
      <w:lang w:val="es-ES_tradnl" w:eastAsia="es-ES"/>
    </w:rPr>
  </w:style>
  <w:style w:type="paragraph" w:customStyle="1" w:styleId="Default">
    <w:name w:val="Default"/>
    <w:rsid w:val="000B557B"/>
    <w:pPr>
      <w:widowControl w:val="0"/>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author-g-4mvqifz122zpebz122zf30gt">
    <w:name w:val="author-g-4mvqifz122zpebz122zf30gt"/>
    <w:rsid w:val="0045753A"/>
  </w:style>
  <w:style w:type="character" w:styleId="Strong">
    <w:name w:val="Strong"/>
    <w:basedOn w:val="DefaultParagraphFont"/>
    <w:uiPriority w:val="22"/>
    <w:qFormat/>
    <w:rsid w:val="00D5733D"/>
    <w:rPr>
      <w:b/>
      <w:bCs/>
    </w:rPr>
  </w:style>
  <w:style w:type="character" w:customStyle="1" w:styleId="UnresolvedMention1">
    <w:name w:val="Unresolved Mention1"/>
    <w:basedOn w:val="DefaultParagraphFont"/>
    <w:uiPriority w:val="99"/>
    <w:semiHidden/>
    <w:unhideWhenUsed/>
    <w:rsid w:val="00EE44D1"/>
    <w:rPr>
      <w:color w:val="605E5C"/>
      <w:shd w:val="clear" w:color="auto" w:fill="E1DFDD"/>
    </w:rPr>
  </w:style>
  <w:style w:type="character" w:styleId="FollowedHyperlink">
    <w:name w:val="FollowedHyperlink"/>
    <w:basedOn w:val="DefaultParagraphFont"/>
    <w:uiPriority w:val="99"/>
    <w:semiHidden/>
    <w:unhideWhenUsed/>
    <w:rsid w:val="00014595"/>
    <w:rPr>
      <w:color w:val="9F6715" w:themeColor="followedHyperlink"/>
      <w:u w:val="single"/>
    </w:rPr>
  </w:style>
  <w:style w:type="character" w:customStyle="1" w:styleId="UnresolvedMention2">
    <w:name w:val="Unresolved Mention2"/>
    <w:basedOn w:val="DefaultParagraphFont"/>
    <w:uiPriority w:val="99"/>
    <w:semiHidden/>
    <w:unhideWhenUsed/>
    <w:rsid w:val="00D11734"/>
    <w:rPr>
      <w:color w:val="605E5C"/>
      <w:shd w:val="clear" w:color="auto" w:fill="E1DFDD"/>
    </w:rPr>
  </w:style>
  <w:style w:type="character" w:styleId="Emphasis">
    <w:name w:val="Emphasis"/>
    <w:basedOn w:val="DefaultParagraphFont"/>
    <w:uiPriority w:val="20"/>
    <w:qFormat/>
    <w:rsid w:val="00BE17C9"/>
    <w:rPr>
      <w:i/>
      <w:iCs/>
    </w:rPr>
  </w:style>
  <w:style w:type="paragraph" w:styleId="Revision">
    <w:name w:val="Revision"/>
    <w:hidden/>
    <w:uiPriority w:val="99"/>
    <w:semiHidden/>
    <w:rsid w:val="007410E5"/>
    <w:pPr>
      <w:spacing w:after="0" w:line="240" w:lineRule="auto"/>
    </w:pPr>
  </w:style>
  <w:style w:type="character" w:customStyle="1" w:styleId="UnresolvedMention3">
    <w:name w:val="Unresolved Mention3"/>
    <w:basedOn w:val="DefaultParagraphFont"/>
    <w:uiPriority w:val="99"/>
    <w:semiHidden/>
    <w:unhideWhenUsed/>
    <w:rsid w:val="007410E5"/>
    <w:rPr>
      <w:color w:val="605E5C"/>
      <w:shd w:val="clear" w:color="auto" w:fill="E1DFDD"/>
    </w:rPr>
  </w:style>
  <w:style w:type="character" w:customStyle="1" w:styleId="UnresolvedMention4">
    <w:name w:val="Unresolved Mention4"/>
    <w:basedOn w:val="DefaultParagraphFont"/>
    <w:uiPriority w:val="99"/>
    <w:semiHidden/>
    <w:unhideWhenUsed/>
    <w:rsid w:val="004646AC"/>
    <w:rPr>
      <w:color w:val="605E5C"/>
      <w:shd w:val="clear" w:color="auto" w:fill="E1DFDD"/>
    </w:rPr>
  </w:style>
  <w:style w:type="character" w:customStyle="1" w:styleId="UnresolvedMention5">
    <w:name w:val="Unresolved Mention5"/>
    <w:basedOn w:val="DefaultParagraphFont"/>
    <w:uiPriority w:val="99"/>
    <w:semiHidden/>
    <w:unhideWhenUsed/>
    <w:rsid w:val="00E87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61384">
      <w:bodyDiv w:val="1"/>
      <w:marLeft w:val="0"/>
      <w:marRight w:val="0"/>
      <w:marTop w:val="0"/>
      <w:marBottom w:val="0"/>
      <w:divBdr>
        <w:top w:val="none" w:sz="0" w:space="0" w:color="auto"/>
        <w:left w:val="none" w:sz="0" w:space="0" w:color="auto"/>
        <w:bottom w:val="none" w:sz="0" w:space="0" w:color="auto"/>
        <w:right w:val="none" w:sz="0" w:space="0" w:color="auto"/>
      </w:divBdr>
      <w:divsChild>
        <w:div w:id="1599949574">
          <w:marLeft w:val="0"/>
          <w:marRight w:val="0"/>
          <w:marTop w:val="0"/>
          <w:marBottom w:val="0"/>
          <w:divBdr>
            <w:top w:val="none" w:sz="0" w:space="0" w:color="auto"/>
            <w:left w:val="none" w:sz="0" w:space="0" w:color="auto"/>
            <w:bottom w:val="none" w:sz="0" w:space="0" w:color="auto"/>
            <w:right w:val="none" w:sz="0" w:space="0" w:color="auto"/>
          </w:divBdr>
        </w:div>
        <w:div w:id="1398481893">
          <w:marLeft w:val="0"/>
          <w:marRight w:val="0"/>
          <w:marTop w:val="0"/>
          <w:marBottom w:val="0"/>
          <w:divBdr>
            <w:top w:val="none" w:sz="0" w:space="0" w:color="auto"/>
            <w:left w:val="none" w:sz="0" w:space="0" w:color="auto"/>
            <w:bottom w:val="none" w:sz="0" w:space="0" w:color="auto"/>
            <w:right w:val="none" w:sz="0" w:space="0" w:color="auto"/>
          </w:divBdr>
        </w:div>
        <w:div w:id="150487096">
          <w:marLeft w:val="0"/>
          <w:marRight w:val="0"/>
          <w:marTop w:val="0"/>
          <w:marBottom w:val="0"/>
          <w:divBdr>
            <w:top w:val="none" w:sz="0" w:space="0" w:color="auto"/>
            <w:left w:val="none" w:sz="0" w:space="0" w:color="auto"/>
            <w:bottom w:val="none" w:sz="0" w:space="0" w:color="auto"/>
            <w:right w:val="none" w:sz="0" w:space="0" w:color="auto"/>
          </w:divBdr>
        </w:div>
        <w:div w:id="773476999">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
        <w:div w:id="2017808715">
          <w:marLeft w:val="0"/>
          <w:marRight w:val="0"/>
          <w:marTop w:val="0"/>
          <w:marBottom w:val="0"/>
          <w:divBdr>
            <w:top w:val="none" w:sz="0" w:space="0" w:color="auto"/>
            <w:left w:val="none" w:sz="0" w:space="0" w:color="auto"/>
            <w:bottom w:val="none" w:sz="0" w:space="0" w:color="auto"/>
            <w:right w:val="none" w:sz="0" w:space="0" w:color="auto"/>
          </w:divBdr>
        </w:div>
        <w:div w:id="1119374851">
          <w:marLeft w:val="0"/>
          <w:marRight w:val="0"/>
          <w:marTop w:val="0"/>
          <w:marBottom w:val="0"/>
          <w:divBdr>
            <w:top w:val="none" w:sz="0" w:space="0" w:color="auto"/>
            <w:left w:val="none" w:sz="0" w:space="0" w:color="auto"/>
            <w:bottom w:val="none" w:sz="0" w:space="0" w:color="auto"/>
            <w:right w:val="none" w:sz="0" w:space="0" w:color="auto"/>
          </w:divBdr>
        </w:div>
        <w:div w:id="2037076777">
          <w:marLeft w:val="0"/>
          <w:marRight w:val="0"/>
          <w:marTop w:val="0"/>
          <w:marBottom w:val="0"/>
          <w:divBdr>
            <w:top w:val="none" w:sz="0" w:space="0" w:color="auto"/>
            <w:left w:val="none" w:sz="0" w:space="0" w:color="auto"/>
            <w:bottom w:val="none" w:sz="0" w:space="0" w:color="auto"/>
            <w:right w:val="none" w:sz="0" w:space="0" w:color="auto"/>
          </w:divBdr>
        </w:div>
        <w:div w:id="1563786760">
          <w:marLeft w:val="0"/>
          <w:marRight w:val="0"/>
          <w:marTop w:val="0"/>
          <w:marBottom w:val="0"/>
          <w:divBdr>
            <w:top w:val="none" w:sz="0" w:space="0" w:color="auto"/>
            <w:left w:val="none" w:sz="0" w:space="0" w:color="auto"/>
            <w:bottom w:val="none" w:sz="0" w:space="0" w:color="auto"/>
            <w:right w:val="none" w:sz="0" w:space="0" w:color="auto"/>
          </w:divBdr>
        </w:div>
        <w:div w:id="776829615">
          <w:marLeft w:val="0"/>
          <w:marRight w:val="0"/>
          <w:marTop w:val="0"/>
          <w:marBottom w:val="0"/>
          <w:divBdr>
            <w:top w:val="none" w:sz="0" w:space="0" w:color="auto"/>
            <w:left w:val="none" w:sz="0" w:space="0" w:color="auto"/>
            <w:bottom w:val="none" w:sz="0" w:space="0" w:color="auto"/>
            <w:right w:val="none" w:sz="0" w:space="0" w:color="auto"/>
          </w:divBdr>
        </w:div>
        <w:div w:id="1179737147">
          <w:marLeft w:val="0"/>
          <w:marRight w:val="0"/>
          <w:marTop w:val="0"/>
          <w:marBottom w:val="0"/>
          <w:divBdr>
            <w:top w:val="none" w:sz="0" w:space="0" w:color="auto"/>
            <w:left w:val="none" w:sz="0" w:space="0" w:color="auto"/>
            <w:bottom w:val="none" w:sz="0" w:space="0" w:color="auto"/>
            <w:right w:val="none" w:sz="0" w:space="0" w:color="auto"/>
          </w:divBdr>
        </w:div>
        <w:div w:id="1803502778">
          <w:marLeft w:val="0"/>
          <w:marRight w:val="0"/>
          <w:marTop w:val="0"/>
          <w:marBottom w:val="0"/>
          <w:divBdr>
            <w:top w:val="none" w:sz="0" w:space="0" w:color="auto"/>
            <w:left w:val="none" w:sz="0" w:space="0" w:color="auto"/>
            <w:bottom w:val="none" w:sz="0" w:space="0" w:color="auto"/>
            <w:right w:val="none" w:sz="0" w:space="0" w:color="auto"/>
          </w:divBdr>
        </w:div>
        <w:div w:id="752434190">
          <w:marLeft w:val="0"/>
          <w:marRight w:val="0"/>
          <w:marTop w:val="0"/>
          <w:marBottom w:val="0"/>
          <w:divBdr>
            <w:top w:val="none" w:sz="0" w:space="0" w:color="auto"/>
            <w:left w:val="none" w:sz="0" w:space="0" w:color="auto"/>
            <w:bottom w:val="none" w:sz="0" w:space="0" w:color="auto"/>
            <w:right w:val="none" w:sz="0" w:space="0" w:color="auto"/>
          </w:divBdr>
        </w:div>
        <w:div w:id="13457839">
          <w:marLeft w:val="0"/>
          <w:marRight w:val="0"/>
          <w:marTop w:val="0"/>
          <w:marBottom w:val="0"/>
          <w:divBdr>
            <w:top w:val="none" w:sz="0" w:space="0" w:color="auto"/>
            <w:left w:val="none" w:sz="0" w:space="0" w:color="auto"/>
            <w:bottom w:val="none" w:sz="0" w:space="0" w:color="auto"/>
            <w:right w:val="none" w:sz="0" w:space="0" w:color="auto"/>
          </w:divBdr>
        </w:div>
        <w:div w:id="644623099">
          <w:marLeft w:val="0"/>
          <w:marRight w:val="0"/>
          <w:marTop w:val="0"/>
          <w:marBottom w:val="0"/>
          <w:divBdr>
            <w:top w:val="none" w:sz="0" w:space="0" w:color="auto"/>
            <w:left w:val="none" w:sz="0" w:space="0" w:color="auto"/>
            <w:bottom w:val="none" w:sz="0" w:space="0" w:color="auto"/>
            <w:right w:val="none" w:sz="0" w:space="0" w:color="auto"/>
          </w:divBdr>
        </w:div>
        <w:div w:id="1975212461">
          <w:marLeft w:val="0"/>
          <w:marRight w:val="0"/>
          <w:marTop w:val="0"/>
          <w:marBottom w:val="0"/>
          <w:divBdr>
            <w:top w:val="none" w:sz="0" w:space="0" w:color="auto"/>
            <w:left w:val="none" w:sz="0" w:space="0" w:color="auto"/>
            <w:bottom w:val="none" w:sz="0" w:space="0" w:color="auto"/>
            <w:right w:val="none" w:sz="0" w:space="0" w:color="auto"/>
          </w:divBdr>
        </w:div>
        <w:div w:id="1593853066">
          <w:marLeft w:val="0"/>
          <w:marRight w:val="0"/>
          <w:marTop w:val="0"/>
          <w:marBottom w:val="0"/>
          <w:divBdr>
            <w:top w:val="none" w:sz="0" w:space="0" w:color="auto"/>
            <w:left w:val="none" w:sz="0" w:space="0" w:color="auto"/>
            <w:bottom w:val="none" w:sz="0" w:space="0" w:color="auto"/>
            <w:right w:val="none" w:sz="0" w:space="0" w:color="auto"/>
          </w:divBdr>
        </w:div>
        <w:div w:id="1968706385">
          <w:marLeft w:val="0"/>
          <w:marRight w:val="0"/>
          <w:marTop w:val="0"/>
          <w:marBottom w:val="0"/>
          <w:divBdr>
            <w:top w:val="none" w:sz="0" w:space="0" w:color="auto"/>
            <w:left w:val="none" w:sz="0" w:space="0" w:color="auto"/>
            <w:bottom w:val="none" w:sz="0" w:space="0" w:color="auto"/>
            <w:right w:val="none" w:sz="0" w:space="0" w:color="auto"/>
          </w:divBdr>
        </w:div>
        <w:div w:id="453527249">
          <w:marLeft w:val="0"/>
          <w:marRight w:val="0"/>
          <w:marTop w:val="0"/>
          <w:marBottom w:val="0"/>
          <w:divBdr>
            <w:top w:val="none" w:sz="0" w:space="0" w:color="auto"/>
            <w:left w:val="none" w:sz="0" w:space="0" w:color="auto"/>
            <w:bottom w:val="none" w:sz="0" w:space="0" w:color="auto"/>
            <w:right w:val="none" w:sz="0" w:space="0" w:color="auto"/>
          </w:divBdr>
        </w:div>
        <w:div w:id="1552693162">
          <w:marLeft w:val="0"/>
          <w:marRight w:val="0"/>
          <w:marTop w:val="0"/>
          <w:marBottom w:val="0"/>
          <w:divBdr>
            <w:top w:val="none" w:sz="0" w:space="0" w:color="auto"/>
            <w:left w:val="none" w:sz="0" w:space="0" w:color="auto"/>
            <w:bottom w:val="none" w:sz="0" w:space="0" w:color="auto"/>
            <w:right w:val="none" w:sz="0" w:space="0" w:color="auto"/>
          </w:divBdr>
        </w:div>
        <w:div w:id="325936929">
          <w:marLeft w:val="0"/>
          <w:marRight w:val="0"/>
          <w:marTop w:val="0"/>
          <w:marBottom w:val="0"/>
          <w:divBdr>
            <w:top w:val="none" w:sz="0" w:space="0" w:color="auto"/>
            <w:left w:val="none" w:sz="0" w:space="0" w:color="auto"/>
            <w:bottom w:val="none" w:sz="0" w:space="0" w:color="auto"/>
            <w:right w:val="none" w:sz="0" w:space="0" w:color="auto"/>
          </w:divBdr>
        </w:div>
        <w:div w:id="2106995469">
          <w:marLeft w:val="0"/>
          <w:marRight w:val="0"/>
          <w:marTop w:val="0"/>
          <w:marBottom w:val="0"/>
          <w:divBdr>
            <w:top w:val="none" w:sz="0" w:space="0" w:color="auto"/>
            <w:left w:val="none" w:sz="0" w:space="0" w:color="auto"/>
            <w:bottom w:val="none" w:sz="0" w:space="0" w:color="auto"/>
            <w:right w:val="none" w:sz="0" w:space="0" w:color="auto"/>
          </w:divBdr>
        </w:div>
        <w:div w:id="82842747">
          <w:marLeft w:val="0"/>
          <w:marRight w:val="0"/>
          <w:marTop w:val="0"/>
          <w:marBottom w:val="0"/>
          <w:divBdr>
            <w:top w:val="none" w:sz="0" w:space="0" w:color="auto"/>
            <w:left w:val="none" w:sz="0" w:space="0" w:color="auto"/>
            <w:bottom w:val="none" w:sz="0" w:space="0" w:color="auto"/>
            <w:right w:val="none" w:sz="0" w:space="0" w:color="auto"/>
          </w:divBdr>
        </w:div>
        <w:div w:id="1405254252">
          <w:marLeft w:val="0"/>
          <w:marRight w:val="0"/>
          <w:marTop w:val="0"/>
          <w:marBottom w:val="0"/>
          <w:divBdr>
            <w:top w:val="none" w:sz="0" w:space="0" w:color="auto"/>
            <w:left w:val="none" w:sz="0" w:space="0" w:color="auto"/>
            <w:bottom w:val="none" w:sz="0" w:space="0" w:color="auto"/>
            <w:right w:val="none" w:sz="0" w:space="0" w:color="auto"/>
          </w:divBdr>
        </w:div>
        <w:div w:id="585963562">
          <w:marLeft w:val="0"/>
          <w:marRight w:val="0"/>
          <w:marTop w:val="0"/>
          <w:marBottom w:val="0"/>
          <w:divBdr>
            <w:top w:val="none" w:sz="0" w:space="0" w:color="auto"/>
            <w:left w:val="none" w:sz="0" w:space="0" w:color="auto"/>
            <w:bottom w:val="none" w:sz="0" w:space="0" w:color="auto"/>
            <w:right w:val="none" w:sz="0" w:space="0" w:color="auto"/>
          </w:divBdr>
        </w:div>
        <w:div w:id="203257611">
          <w:marLeft w:val="0"/>
          <w:marRight w:val="0"/>
          <w:marTop w:val="0"/>
          <w:marBottom w:val="0"/>
          <w:divBdr>
            <w:top w:val="none" w:sz="0" w:space="0" w:color="auto"/>
            <w:left w:val="none" w:sz="0" w:space="0" w:color="auto"/>
            <w:bottom w:val="none" w:sz="0" w:space="0" w:color="auto"/>
            <w:right w:val="none" w:sz="0" w:space="0" w:color="auto"/>
          </w:divBdr>
        </w:div>
        <w:div w:id="29426663">
          <w:marLeft w:val="0"/>
          <w:marRight w:val="0"/>
          <w:marTop w:val="0"/>
          <w:marBottom w:val="0"/>
          <w:divBdr>
            <w:top w:val="none" w:sz="0" w:space="0" w:color="auto"/>
            <w:left w:val="none" w:sz="0" w:space="0" w:color="auto"/>
            <w:bottom w:val="none" w:sz="0" w:space="0" w:color="auto"/>
            <w:right w:val="none" w:sz="0" w:space="0" w:color="auto"/>
          </w:divBdr>
        </w:div>
        <w:div w:id="1264915460">
          <w:marLeft w:val="0"/>
          <w:marRight w:val="0"/>
          <w:marTop w:val="0"/>
          <w:marBottom w:val="0"/>
          <w:divBdr>
            <w:top w:val="none" w:sz="0" w:space="0" w:color="auto"/>
            <w:left w:val="none" w:sz="0" w:space="0" w:color="auto"/>
            <w:bottom w:val="none" w:sz="0" w:space="0" w:color="auto"/>
            <w:right w:val="none" w:sz="0" w:space="0" w:color="auto"/>
          </w:divBdr>
        </w:div>
        <w:div w:id="1970864759">
          <w:marLeft w:val="0"/>
          <w:marRight w:val="0"/>
          <w:marTop w:val="0"/>
          <w:marBottom w:val="0"/>
          <w:divBdr>
            <w:top w:val="none" w:sz="0" w:space="0" w:color="auto"/>
            <w:left w:val="none" w:sz="0" w:space="0" w:color="auto"/>
            <w:bottom w:val="none" w:sz="0" w:space="0" w:color="auto"/>
            <w:right w:val="none" w:sz="0" w:space="0" w:color="auto"/>
          </w:divBdr>
        </w:div>
        <w:div w:id="326637665">
          <w:marLeft w:val="0"/>
          <w:marRight w:val="0"/>
          <w:marTop w:val="0"/>
          <w:marBottom w:val="0"/>
          <w:divBdr>
            <w:top w:val="none" w:sz="0" w:space="0" w:color="auto"/>
            <w:left w:val="none" w:sz="0" w:space="0" w:color="auto"/>
            <w:bottom w:val="none" w:sz="0" w:space="0" w:color="auto"/>
            <w:right w:val="none" w:sz="0" w:space="0" w:color="auto"/>
          </w:divBdr>
        </w:div>
        <w:div w:id="1048143802">
          <w:marLeft w:val="0"/>
          <w:marRight w:val="0"/>
          <w:marTop w:val="0"/>
          <w:marBottom w:val="0"/>
          <w:divBdr>
            <w:top w:val="none" w:sz="0" w:space="0" w:color="auto"/>
            <w:left w:val="none" w:sz="0" w:space="0" w:color="auto"/>
            <w:bottom w:val="none" w:sz="0" w:space="0" w:color="auto"/>
            <w:right w:val="none" w:sz="0" w:space="0" w:color="auto"/>
          </w:divBdr>
        </w:div>
        <w:div w:id="1613586388">
          <w:marLeft w:val="0"/>
          <w:marRight w:val="0"/>
          <w:marTop w:val="0"/>
          <w:marBottom w:val="0"/>
          <w:divBdr>
            <w:top w:val="none" w:sz="0" w:space="0" w:color="auto"/>
            <w:left w:val="none" w:sz="0" w:space="0" w:color="auto"/>
            <w:bottom w:val="none" w:sz="0" w:space="0" w:color="auto"/>
            <w:right w:val="none" w:sz="0" w:space="0" w:color="auto"/>
          </w:divBdr>
        </w:div>
        <w:div w:id="1691836015">
          <w:marLeft w:val="0"/>
          <w:marRight w:val="0"/>
          <w:marTop w:val="0"/>
          <w:marBottom w:val="0"/>
          <w:divBdr>
            <w:top w:val="none" w:sz="0" w:space="0" w:color="auto"/>
            <w:left w:val="none" w:sz="0" w:space="0" w:color="auto"/>
            <w:bottom w:val="none" w:sz="0" w:space="0" w:color="auto"/>
            <w:right w:val="none" w:sz="0" w:space="0" w:color="auto"/>
          </w:divBdr>
        </w:div>
        <w:div w:id="1923950143">
          <w:marLeft w:val="0"/>
          <w:marRight w:val="0"/>
          <w:marTop w:val="0"/>
          <w:marBottom w:val="0"/>
          <w:divBdr>
            <w:top w:val="none" w:sz="0" w:space="0" w:color="auto"/>
            <w:left w:val="none" w:sz="0" w:space="0" w:color="auto"/>
            <w:bottom w:val="none" w:sz="0" w:space="0" w:color="auto"/>
            <w:right w:val="none" w:sz="0" w:space="0" w:color="auto"/>
          </w:divBdr>
        </w:div>
        <w:div w:id="1611234216">
          <w:marLeft w:val="0"/>
          <w:marRight w:val="0"/>
          <w:marTop w:val="0"/>
          <w:marBottom w:val="0"/>
          <w:divBdr>
            <w:top w:val="none" w:sz="0" w:space="0" w:color="auto"/>
            <w:left w:val="none" w:sz="0" w:space="0" w:color="auto"/>
            <w:bottom w:val="none" w:sz="0" w:space="0" w:color="auto"/>
            <w:right w:val="none" w:sz="0" w:space="0" w:color="auto"/>
          </w:divBdr>
        </w:div>
        <w:div w:id="374501047">
          <w:marLeft w:val="0"/>
          <w:marRight w:val="0"/>
          <w:marTop w:val="0"/>
          <w:marBottom w:val="0"/>
          <w:divBdr>
            <w:top w:val="none" w:sz="0" w:space="0" w:color="auto"/>
            <w:left w:val="none" w:sz="0" w:space="0" w:color="auto"/>
            <w:bottom w:val="none" w:sz="0" w:space="0" w:color="auto"/>
            <w:right w:val="none" w:sz="0" w:space="0" w:color="auto"/>
          </w:divBdr>
        </w:div>
        <w:div w:id="147984783">
          <w:marLeft w:val="0"/>
          <w:marRight w:val="0"/>
          <w:marTop w:val="0"/>
          <w:marBottom w:val="0"/>
          <w:divBdr>
            <w:top w:val="none" w:sz="0" w:space="0" w:color="auto"/>
            <w:left w:val="none" w:sz="0" w:space="0" w:color="auto"/>
            <w:bottom w:val="none" w:sz="0" w:space="0" w:color="auto"/>
            <w:right w:val="none" w:sz="0" w:space="0" w:color="auto"/>
          </w:divBdr>
        </w:div>
        <w:div w:id="656496516">
          <w:marLeft w:val="0"/>
          <w:marRight w:val="0"/>
          <w:marTop w:val="0"/>
          <w:marBottom w:val="0"/>
          <w:divBdr>
            <w:top w:val="none" w:sz="0" w:space="0" w:color="auto"/>
            <w:left w:val="none" w:sz="0" w:space="0" w:color="auto"/>
            <w:bottom w:val="none" w:sz="0" w:space="0" w:color="auto"/>
            <w:right w:val="none" w:sz="0" w:space="0" w:color="auto"/>
          </w:divBdr>
        </w:div>
        <w:div w:id="1911773366">
          <w:marLeft w:val="0"/>
          <w:marRight w:val="0"/>
          <w:marTop w:val="0"/>
          <w:marBottom w:val="0"/>
          <w:divBdr>
            <w:top w:val="none" w:sz="0" w:space="0" w:color="auto"/>
            <w:left w:val="none" w:sz="0" w:space="0" w:color="auto"/>
            <w:bottom w:val="none" w:sz="0" w:space="0" w:color="auto"/>
            <w:right w:val="none" w:sz="0" w:space="0" w:color="auto"/>
          </w:divBdr>
        </w:div>
        <w:div w:id="1652178686">
          <w:marLeft w:val="0"/>
          <w:marRight w:val="0"/>
          <w:marTop w:val="0"/>
          <w:marBottom w:val="0"/>
          <w:divBdr>
            <w:top w:val="none" w:sz="0" w:space="0" w:color="auto"/>
            <w:left w:val="none" w:sz="0" w:space="0" w:color="auto"/>
            <w:bottom w:val="none" w:sz="0" w:space="0" w:color="auto"/>
            <w:right w:val="none" w:sz="0" w:space="0" w:color="auto"/>
          </w:divBdr>
        </w:div>
        <w:div w:id="578907339">
          <w:marLeft w:val="0"/>
          <w:marRight w:val="0"/>
          <w:marTop w:val="0"/>
          <w:marBottom w:val="0"/>
          <w:divBdr>
            <w:top w:val="none" w:sz="0" w:space="0" w:color="auto"/>
            <w:left w:val="none" w:sz="0" w:space="0" w:color="auto"/>
            <w:bottom w:val="none" w:sz="0" w:space="0" w:color="auto"/>
            <w:right w:val="none" w:sz="0" w:space="0" w:color="auto"/>
          </w:divBdr>
        </w:div>
        <w:div w:id="1262106883">
          <w:marLeft w:val="0"/>
          <w:marRight w:val="0"/>
          <w:marTop w:val="0"/>
          <w:marBottom w:val="0"/>
          <w:divBdr>
            <w:top w:val="none" w:sz="0" w:space="0" w:color="auto"/>
            <w:left w:val="none" w:sz="0" w:space="0" w:color="auto"/>
            <w:bottom w:val="none" w:sz="0" w:space="0" w:color="auto"/>
            <w:right w:val="none" w:sz="0" w:space="0" w:color="auto"/>
          </w:divBdr>
        </w:div>
        <w:div w:id="1352027258">
          <w:marLeft w:val="0"/>
          <w:marRight w:val="0"/>
          <w:marTop w:val="0"/>
          <w:marBottom w:val="0"/>
          <w:divBdr>
            <w:top w:val="none" w:sz="0" w:space="0" w:color="auto"/>
            <w:left w:val="none" w:sz="0" w:space="0" w:color="auto"/>
            <w:bottom w:val="none" w:sz="0" w:space="0" w:color="auto"/>
            <w:right w:val="none" w:sz="0" w:space="0" w:color="auto"/>
          </w:divBdr>
        </w:div>
        <w:div w:id="1886134831">
          <w:marLeft w:val="0"/>
          <w:marRight w:val="0"/>
          <w:marTop w:val="0"/>
          <w:marBottom w:val="0"/>
          <w:divBdr>
            <w:top w:val="none" w:sz="0" w:space="0" w:color="auto"/>
            <w:left w:val="none" w:sz="0" w:space="0" w:color="auto"/>
            <w:bottom w:val="none" w:sz="0" w:space="0" w:color="auto"/>
            <w:right w:val="none" w:sz="0" w:space="0" w:color="auto"/>
          </w:divBdr>
        </w:div>
        <w:div w:id="1877234551">
          <w:marLeft w:val="0"/>
          <w:marRight w:val="0"/>
          <w:marTop w:val="0"/>
          <w:marBottom w:val="0"/>
          <w:divBdr>
            <w:top w:val="none" w:sz="0" w:space="0" w:color="auto"/>
            <w:left w:val="none" w:sz="0" w:space="0" w:color="auto"/>
            <w:bottom w:val="none" w:sz="0" w:space="0" w:color="auto"/>
            <w:right w:val="none" w:sz="0" w:space="0" w:color="auto"/>
          </w:divBdr>
        </w:div>
        <w:div w:id="528027405">
          <w:marLeft w:val="0"/>
          <w:marRight w:val="0"/>
          <w:marTop w:val="0"/>
          <w:marBottom w:val="0"/>
          <w:divBdr>
            <w:top w:val="none" w:sz="0" w:space="0" w:color="auto"/>
            <w:left w:val="none" w:sz="0" w:space="0" w:color="auto"/>
            <w:bottom w:val="none" w:sz="0" w:space="0" w:color="auto"/>
            <w:right w:val="none" w:sz="0" w:space="0" w:color="auto"/>
          </w:divBdr>
        </w:div>
        <w:div w:id="28342804">
          <w:marLeft w:val="0"/>
          <w:marRight w:val="0"/>
          <w:marTop w:val="0"/>
          <w:marBottom w:val="0"/>
          <w:divBdr>
            <w:top w:val="none" w:sz="0" w:space="0" w:color="auto"/>
            <w:left w:val="none" w:sz="0" w:space="0" w:color="auto"/>
            <w:bottom w:val="none" w:sz="0" w:space="0" w:color="auto"/>
            <w:right w:val="none" w:sz="0" w:space="0" w:color="auto"/>
          </w:divBdr>
        </w:div>
        <w:div w:id="2104304823">
          <w:marLeft w:val="0"/>
          <w:marRight w:val="0"/>
          <w:marTop w:val="0"/>
          <w:marBottom w:val="0"/>
          <w:divBdr>
            <w:top w:val="none" w:sz="0" w:space="0" w:color="auto"/>
            <w:left w:val="none" w:sz="0" w:space="0" w:color="auto"/>
            <w:bottom w:val="none" w:sz="0" w:space="0" w:color="auto"/>
            <w:right w:val="none" w:sz="0" w:space="0" w:color="auto"/>
          </w:divBdr>
        </w:div>
        <w:div w:id="118259500">
          <w:marLeft w:val="0"/>
          <w:marRight w:val="0"/>
          <w:marTop w:val="0"/>
          <w:marBottom w:val="0"/>
          <w:divBdr>
            <w:top w:val="none" w:sz="0" w:space="0" w:color="auto"/>
            <w:left w:val="none" w:sz="0" w:space="0" w:color="auto"/>
            <w:bottom w:val="none" w:sz="0" w:space="0" w:color="auto"/>
            <w:right w:val="none" w:sz="0" w:space="0" w:color="auto"/>
          </w:divBdr>
        </w:div>
        <w:div w:id="2027753085">
          <w:marLeft w:val="0"/>
          <w:marRight w:val="0"/>
          <w:marTop w:val="0"/>
          <w:marBottom w:val="0"/>
          <w:divBdr>
            <w:top w:val="none" w:sz="0" w:space="0" w:color="auto"/>
            <w:left w:val="none" w:sz="0" w:space="0" w:color="auto"/>
            <w:bottom w:val="none" w:sz="0" w:space="0" w:color="auto"/>
            <w:right w:val="none" w:sz="0" w:space="0" w:color="auto"/>
          </w:divBdr>
        </w:div>
        <w:div w:id="1425569712">
          <w:marLeft w:val="0"/>
          <w:marRight w:val="0"/>
          <w:marTop w:val="0"/>
          <w:marBottom w:val="0"/>
          <w:divBdr>
            <w:top w:val="none" w:sz="0" w:space="0" w:color="auto"/>
            <w:left w:val="none" w:sz="0" w:space="0" w:color="auto"/>
            <w:bottom w:val="none" w:sz="0" w:space="0" w:color="auto"/>
            <w:right w:val="none" w:sz="0" w:space="0" w:color="auto"/>
          </w:divBdr>
        </w:div>
        <w:div w:id="1005285597">
          <w:marLeft w:val="0"/>
          <w:marRight w:val="0"/>
          <w:marTop w:val="0"/>
          <w:marBottom w:val="0"/>
          <w:divBdr>
            <w:top w:val="none" w:sz="0" w:space="0" w:color="auto"/>
            <w:left w:val="none" w:sz="0" w:space="0" w:color="auto"/>
            <w:bottom w:val="none" w:sz="0" w:space="0" w:color="auto"/>
            <w:right w:val="none" w:sz="0" w:space="0" w:color="auto"/>
          </w:divBdr>
        </w:div>
        <w:div w:id="49505686">
          <w:marLeft w:val="0"/>
          <w:marRight w:val="0"/>
          <w:marTop w:val="0"/>
          <w:marBottom w:val="0"/>
          <w:divBdr>
            <w:top w:val="none" w:sz="0" w:space="0" w:color="auto"/>
            <w:left w:val="none" w:sz="0" w:space="0" w:color="auto"/>
            <w:bottom w:val="none" w:sz="0" w:space="0" w:color="auto"/>
            <w:right w:val="none" w:sz="0" w:space="0" w:color="auto"/>
          </w:divBdr>
        </w:div>
        <w:div w:id="1129009234">
          <w:marLeft w:val="0"/>
          <w:marRight w:val="0"/>
          <w:marTop w:val="0"/>
          <w:marBottom w:val="0"/>
          <w:divBdr>
            <w:top w:val="none" w:sz="0" w:space="0" w:color="auto"/>
            <w:left w:val="none" w:sz="0" w:space="0" w:color="auto"/>
            <w:bottom w:val="none" w:sz="0" w:space="0" w:color="auto"/>
            <w:right w:val="none" w:sz="0" w:space="0" w:color="auto"/>
          </w:divBdr>
        </w:div>
        <w:div w:id="50927167">
          <w:marLeft w:val="0"/>
          <w:marRight w:val="0"/>
          <w:marTop w:val="0"/>
          <w:marBottom w:val="0"/>
          <w:divBdr>
            <w:top w:val="none" w:sz="0" w:space="0" w:color="auto"/>
            <w:left w:val="none" w:sz="0" w:space="0" w:color="auto"/>
            <w:bottom w:val="none" w:sz="0" w:space="0" w:color="auto"/>
            <w:right w:val="none" w:sz="0" w:space="0" w:color="auto"/>
          </w:divBdr>
        </w:div>
        <w:div w:id="72943400">
          <w:marLeft w:val="0"/>
          <w:marRight w:val="0"/>
          <w:marTop w:val="0"/>
          <w:marBottom w:val="0"/>
          <w:divBdr>
            <w:top w:val="none" w:sz="0" w:space="0" w:color="auto"/>
            <w:left w:val="none" w:sz="0" w:space="0" w:color="auto"/>
            <w:bottom w:val="none" w:sz="0" w:space="0" w:color="auto"/>
            <w:right w:val="none" w:sz="0" w:space="0" w:color="auto"/>
          </w:divBdr>
        </w:div>
        <w:div w:id="505947107">
          <w:marLeft w:val="0"/>
          <w:marRight w:val="0"/>
          <w:marTop w:val="0"/>
          <w:marBottom w:val="0"/>
          <w:divBdr>
            <w:top w:val="none" w:sz="0" w:space="0" w:color="auto"/>
            <w:left w:val="none" w:sz="0" w:space="0" w:color="auto"/>
            <w:bottom w:val="none" w:sz="0" w:space="0" w:color="auto"/>
            <w:right w:val="none" w:sz="0" w:space="0" w:color="auto"/>
          </w:divBdr>
        </w:div>
        <w:div w:id="1365714229">
          <w:marLeft w:val="0"/>
          <w:marRight w:val="0"/>
          <w:marTop w:val="0"/>
          <w:marBottom w:val="0"/>
          <w:divBdr>
            <w:top w:val="none" w:sz="0" w:space="0" w:color="auto"/>
            <w:left w:val="none" w:sz="0" w:space="0" w:color="auto"/>
            <w:bottom w:val="none" w:sz="0" w:space="0" w:color="auto"/>
            <w:right w:val="none" w:sz="0" w:space="0" w:color="auto"/>
          </w:divBdr>
        </w:div>
        <w:div w:id="120736292">
          <w:marLeft w:val="0"/>
          <w:marRight w:val="0"/>
          <w:marTop w:val="0"/>
          <w:marBottom w:val="0"/>
          <w:divBdr>
            <w:top w:val="none" w:sz="0" w:space="0" w:color="auto"/>
            <w:left w:val="none" w:sz="0" w:space="0" w:color="auto"/>
            <w:bottom w:val="none" w:sz="0" w:space="0" w:color="auto"/>
            <w:right w:val="none" w:sz="0" w:space="0" w:color="auto"/>
          </w:divBdr>
        </w:div>
        <w:div w:id="1524904298">
          <w:marLeft w:val="0"/>
          <w:marRight w:val="0"/>
          <w:marTop w:val="0"/>
          <w:marBottom w:val="0"/>
          <w:divBdr>
            <w:top w:val="none" w:sz="0" w:space="0" w:color="auto"/>
            <w:left w:val="none" w:sz="0" w:space="0" w:color="auto"/>
            <w:bottom w:val="none" w:sz="0" w:space="0" w:color="auto"/>
            <w:right w:val="none" w:sz="0" w:space="0" w:color="auto"/>
          </w:divBdr>
        </w:div>
        <w:div w:id="1359354328">
          <w:marLeft w:val="0"/>
          <w:marRight w:val="0"/>
          <w:marTop w:val="0"/>
          <w:marBottom w:val="0"/>
          <w:divBdr>
            <w:top w:val="none" w:sz="0" w:space="0" w:color="auto"/>
            <w:left w:val="none" w:sz="0" w:space="0" w:color="auto"/>
            <w:bottom w:val="none" w:sz="0" w:space="0" w:color="auto"/>
            <w:right w:val="none" w:sz="0" w:space="0" w:color="auto"/>
          </w:divBdr>
        </w:div>
        <w:div w:id="84956110">
          <w:marLeft w:val="0"/>
          <w:marRight w:val="0"/>
          <w:marTop w:val="0"/>
          <w:marBottom w:val="0"/>
          <w:divBdr>
            <w:top w:val="none" w:sz="0" w:space="0" w:color="auto"/>
            <w:left w:val="none" w:sz="0" w:space="0" w:color="auto"/>
            <w:bottom w:val="none" w:sz="0" w:space="0" w:color="auto"/>
            <w:right w:val="none" w:sz="0" w:space="0" w:color="auto"/>
          </w:divBdr>
        </w:div>
        <w:div w:id="896093373">
          <w:marLeft w:val="0"/>
          <w:marRight w:val="0"/>
          <w:marTop w:val="0"/>
          <w:marBottom w:val="0"/>
          <w:divBdr>
            <w:top w:val="none" w:sz="0" w:space="0" w:color="auto"/>
            <w:left w:val="none" w:sz="0" w:space="0" w:color="auto"/>
            <w:bottom w:val="none" w:sz="0" w:space="0" w:color="auto"/>
            <w:right w:val="none" w:sz="0" w:space="0" w:color="auto"/>
          </w:divBdr>
        </w:div>
        <w:div w:id="159392279">
          <w:marLeft w:val="0"/>
          <w:marRight w:val="0"/>
          <w:marTop w:val="0"/>
          <w:marBottom w:val="0"/>
          <w:divBdr>
            <w:top w:val="none" w:sz="0" w:space="0" w:color="auto"/>
            <w:left w:val="none" w:sz="0" w:space="0" w:color="auto"/>
            <w:bottom w:val="none" w:sz="0" w:space="0" w:color="auto"/>
            <w:right w:val="none" w:sz="0" w:space="0" w:color="auto"/>
          </w:divBdr>
        </w:div>
        <w:div w:id="1614171267">
          <w:marLeft w:val="0"/>
          <w:marRight w:val="0"/>
          <w:marTop w:val="0"/>
          <w:marBottom w:val="0"/>
          <w:divBdr>
            <w:top w:val="none" w:sz="0" w:space="0" w:color="auto"/>
            <w:left w:val="none" w:sz="0" w:space="0" w:color="auto"/>
            <w:bottom w:val="none" w:sz="0" w:space="0" w:color="auto"/>
            <w:right w:val="none" w:sz="0" w:space="0" w:color="auto"/>
          </w:divBdr>
        </w:div>
        <w:div w:id="1434858938">
          <w:marLeft w:val="0"/>
          <w:marRight w:val="0"/>
          <w:marTop w:val="0"/>
          <w:marBottom w:val="0"/>
          <w:divBdr>
            <w:top w:val="none" w:sz="0" w:space="0" w:color="auto"/>
            <w:left w:val="none" w:sz="0" w:space="0" w:color="auto"/>
            <w:bottom w:val="none" w:sz="0" w:space="0" w:color="auto"/>
            <w:right w:val="none" w:sz="0" w:space="0" w:color="auto"/>
          </w:divBdr>
        </w:div>
        <w:div w:id="786389547">
          <w:marLeft w:val="0"/>
          <w:marRight w:val="0"/>
          <w:marTop w:val="0"/>
          <w:marBottom w:val="0"/>
          <w:divBdr>
            <w:top w:val="none" w:sz="0" w:space="0" w:color="auto"/>
            <w:left w:val="none" w:sz="0" w:space="0" w:color="auto"/>
            <w:bottom w:val="none" w:sz="0" w:space="0" w:color="auto"/>
            <w:right w:val="none" w:sz="0" w:space="0" w:color="auto"/>
          </w:divBdr>
        </w:div>
        <w:div w:id="1072116099">
          <w:marLeft w:val="0"/>
          <w:marRight w:val="0"/>
          <w:marTop w:val="0"/>
          <w:marBottom w:val="0"/>
          <w:divBdr>
            <w:top w:val="none" w:sz="0" w:space="0" w:color="auto"/>
            <w:left w:val="none" w:sz="0" w:space="0" w:color="auto"/>
            <w:bottom w:val="none" w:sz="0" w:space="0" w:color="auto"/>
            <w:right w:val="none" w:sz="0" w:space="0" w:color="auto"/>
          </w:divBdr>
        </w:div>
      </w:divsChild>
    </w:div>
    <w:div w:id="111704440">
      <w:bodyDiv w:val="1"/>
      <w:marLeft w:val="0"/>
      <w:marRight w:val="0"/>
      <w:marTop w:val="0"/>
      <w:marBottom w:val="0"/>
      <w:divBdr>
        <w:top w:val="none" w:sz="0" w:space="0" w:color="auto"/>
        <w:left w:val="none" w:sz="0" w:space="0" w:color="auto"/>
        <w:bottom w:val="none" w:sz="0" w:space="0" w:color="auto"/>
        <w:right w:val="none" w:sz="0" w:space="0" w:color="auto"/>
      </w:divBdr>
      <w:divsChild>
        <w:div w:id="1771395471">
          <w:marLeft w:val="0"/>
          <w:marRight w:val="0"/>
          <w:marTop w:val="0"/>
          <w:marBottom w:val="0"/>
          <w:divBdr>
            <w:top w:val="none" w:sz="0" w:space="0" w:color="auto"/>
            <w:left w:val="none" w:sz="0" w:space="0" w:color="auto"/>
            <w:bottom w:val="none" w:sz="0" w:space="0" w:color="auto"/>
            <w:right w:val="none" w:sz="0" w:space="0" w:color="auto"/>
          </w:divBdr>
        </w:div>
        <w:div w:id="1993674330">
          <w:marLeft w:val="0"/>
          <w:marRight w:val="0"/>
          <w:marTop w:val="0"/>
          <w:marBottom w:val="0"/>
          <w:divBdr>
            <w:top w:val="none" w:sz="0" w:space="0" w:color="auto"/>
            <w:left w:val="none" w:sz="0" w:space="0" w:color="auto"/>
            <w:bottom w:val="none" w:sz="0" w:space="0" w:color="auto"/>
            <w:right w:val="none" w:sz="0" w:space="0" w:color="auto"/>
          </w:divBdr>
        </w:div>
        <w:div w:id="252396023">
          <w:marLeft w:val="0"/>
          <w:marRight w:val="0"/>
          <w:marTop w:val="0"/>
          <w:marBottom w:val="0"/>
          <w:divBdr>
            <w:top w:val="none" w:sz="0" w:space="0" w:color="auto"/>
            <w:left w:val="none" w:sz="0" w:space="0" w:color="auto"/>
            <w:bottom w:val="none" w:sz="0" w:space="0" w:color="auto"/>
            <w:right w:val="none" w:sz="0" w:space="0" w:color="auto"/>
          </w:divBdr>
        </w:div>
        <w:div w:id="719743177">
          <w:marLeft w:val="0"/>
          <w:marRight w:val="0"/>
          <w:marTop w:val="0"/>
          <w:marBottom w:val="0"/>
          <w:divBdr>
            <w:top w:val="none" w:sz="0" w:space="0" w:color="auto"/>
            <w:left w:val="none" w:sz="0" w:space="0" w:color="auto"/>
            <w:bottom w:val="none" w:sz="0" w:space="0" w:color="auto"/>
            <w:right w:val="none" w:sz="0" w:space="0" w:color="auto"/>
          </w:divBdr>
        </w:div>
        <w:div w:id="328606027">
          <w:marLeft w:val="0"/>
          <w:marRight w:val="0"/>
          <w:marTop w:val="0"/>
          <w:marBottom w:val="0"/>
          <w:divBdr>
            <w:top w:val="none" w:sz="0" w:space="0" w:color="auto"/>
            <w:left w:val="none" w:sz="0" w:space="0" w:color="auto"/>
            <w:bottom w:val="none" w:sz="0" w:space="0" w:color="auto"/>
            <w:right w:val="none" w:sz="0" w:space="0" w:color="auto"/>
          </w:divBdr>
        </w:div>
        <w:div w:id="1010449570">
          <w:marLeft w:val="0"/>
          <w:marRight w:val="0"/>
          <w:marTop w:val="0"/>
          <w:marBottom w:val="0"/>
          <w:divBdr>
            <w:top w:val="none" w:sz="0" w:space="0" w:color="auto"/>
            <w:left w:val="none" w:sz="0" w:space="0" w:color="auto"/>
            <w:bottom w:val="none" w:sz="0" w:space="0" w:color="auto"/>
            <w:right w:val="none" w:sz="0" w:space="0" w:color="auto"/>
          </w:divBdr>
        </w:div>
        <w:div w:id="710960892">
          <w:marLeft w:val="0"/>
          <w:marRight w:val="0"/>
          <w:marTop w:val="0"/>
          <w:marBottom w:val="0"/>
          <w:divBdr>
            <w:top w:val="none" w:sz="0" w:space="0" w:color="auto"/>
            <w:left w:val="none" w:sz="0" w:space="0" w:color="auto"/>
            <w:bottom w:val="none" w:sz="0" w:space="0" w:color="auto"/>
            <w:right w:val="none" w:sz="0" w:space="0" w:color="auto"/>
          </w:divBdr>
        </w:div>
      </w:divsChild>
    </w:div>
    <w:div w:id="127744997">
      <w:bodyDiv w:val="1"/>
      <w:marLeft w:val="0"/>
      <w:marRight w:val="0"/>
      <w:marTop w:val="0"/>
      <w:marBottom w:val="0"/>
      <w:divBdr>
        <w:top w:val="none" w:sz="0" w:space="0" w:color="auto"/>
        <w:left w:val="none" w:sz="0" w:space="0" w:color="auto"/>
        <w:bottom w:val="none" w:sz="0" w:space="0" w:color="auto"/>
        <w:right w:val="none" w:sz="0" w:space="0" w:color="auto"/>
      </w:divBdr>
      <w:divsChild>
        <w:div w:id="322005221">
          <w:marLeft w:val="0"/>
          <w:marRight w:val="0"/>
          <w:marTop w:val="0"/>
          <w:marBottom w:val="0"/>
          <w:divBdr>
            <w:top w:val="none" w:sz="0" w:space="0" w:color="auto"/>
            <w:left w:val="none" w:sz="0" w:space="0" w:color="auto"/>
            <w:bottom w:val="none" w:sz="0" w:space="0" w:color="auto"/>
            <w:right w:val="none" w:sz="0" w:space="0" w:color="auto"/>
          </w:divBdr>
        </w:div>
        <w:div w:id="769935543">
          <w:marLeft w:val="0"/>
          <w:marRight w:val="0"/>
          <w:marTop w:val="0"/>
          <w:marBottom w:val="0"/>
          <w:divBdr>
            <w:top w:val="none" w:sz="0" w:space="0" w:color="auto"/>
            <w:left w:val="none" w:sz="0" w:space="0" w:color="auto"/>
            <w:bottom w:val="none" w:sz="0" w:space="0" w:color="auto"/>
            <w:right w:val="none" w:sz="0" w:space="0" w:color="auto"/>
          </w:divBdr>
        </w:div>
        <w:div w:id="684139918">
          <w:marLeft w:val="0"/>
          <w:marRight w:val="0"/>
          <w:marTop w:val="0"/>
          <w:marBottom w:val="0"/>
          <w:divBdr>
            <w:top w:val="none" w:sz="0" w:space="0" w:color="auto"/>
            <w:left w:val="none" w:sz="0" w:space="0" w:color="auto"/>
            <w:bottom w:val="none" w:sz="0" w:space="0" w:color="auto"/>
            <w:right w:val="none" w:sz="0" w:space="0" w:color="auto"/>
          </w:divBdr>
        </w:div>
        <w:div w:id="1444836703">
          <w:marLeft w:val="0"/>
          <w:marRight w:val="0"/>
          <w:marTop w:val="0"/>
          <w:marBottom w:val="0"/>
          <w:divBdr>
            <w:top w:val="none" w:sz="0" w:space="0" w:color="auto"/>
            <w:left w:val="none" w:sz="0" w:space="0" w:color="auto"/>
            <w:bottom w:val="none" w:sz="0" w:space="0" w:color="auto"/>
            <w:right w:val="none" w:sz="0" w:space="0" w:color="auto"/>
          </w:divBdr>
        </w:div>
        <w:div w:id="1747797597">
          <w:marLeft w:val="0"/>
          <w:marRight w:val="0"/>
          <w:marTop w:val="0"/>
          <w:marBottom w:val="0"/>
          <w:divBdr>
            <w:top w:val="none" w:sz="0" w:space="0" w:color="auto"/>
            <w:left w:val="none" w:sz="0" w:space="0" w:color="auto"/>
            <w:bottom w:val="none" w:sz="0" w:space="0" w:color="auto"/>
            <w:right w:val="none" w:sz="0" w:space="0" w:color="auto"/>
          </w:divBdr>
        </w:div>
        <w:div w:id="2041083376">
          <w:marLeft w:val="0"/>
          <w:marRight w:val="0"/>
          <w:marTop w:val="0"/>
          <w:marBottom w:val="0"/>
          <w:divBdr>
            <w:top w:val="none" w:sz="0" w:space="0" w:color="auto"/>
            <w:left w:val="none" w:sz="0" w:space="0" w:color="auto"/>
            <w:bottom w:val="none" w:sz="0" w:space="0" w:color="auto"/>
            <w:right w:val="none" w:sz="0" w:space="0" w:color="auto"/>
          </w:divBdr>
        </w:div>
        <w:div w:id="464860359">
          <w:marLeft w:val="0"/>
          <w:marRight w:val="0"/>
          <w:marTop w:val="0"/>
          <w:marBottom w:val="0"/>
          <w:divBdr>
            <w:top w:val="none" w:sz="0" w:space="0" w:color="auto"/>
            <w:left w:val="none" w:sz="0" w:space="0" w:color="auto"/>
            <w:bottom w:val="none" w:sz="0" w:space="0" w:color="auto"/>
            <w:right w:val="none" w:sz="0" w:space="0" w:color="auto"/>
          </w:divBdr>
        </w:div>
        <w:div w:id="1346664453">
          <w:marLeft w:val="0"/>
          <w:marRight w:val="0"/>
          <w:marTop w:val="0"/>
          <w:marBottom w:val="0"/>
          <w:divBdr>
            <w:top w:val="none" w:sz="0" w:space="0" w:color="auto"/>
            <w:left w:val="none" w:sz="0" w:space="0" w:color="auto"/>
            <w:bottom w:val="none" w:sz="0" w:space="0" w:color="auto"/>
            <w:right w:val="none" w:sz="0" w:space="0" w:color="auto"/>
          </w:divBdr>
        </w:div>
        <w:div w:id="1985547989">
          <w:marLeft w:val="0"/>
          <w:marRight w:val="0"/>
          <w:marTop w:val="0"/>
          <w:marBottom w:val="0"/>
          <w:divBdr>
            <w:top w:val="none" w:sz="0" w:space="0" w:color="auto"/>
            <w:left w:val="none" w:sz="0" w:space="0" w:color="auto"/>
            <w:bottom w:val="none" w:sz="0" w:space="0" w:color="auto"/>
            <w:right w:val="none" w:sz="0" w:space="0" w:color="auto"/>
          </w:divBdr>
        </w:div>
        <w:div w:id="491137646">
          <w:marLeft w:val="0"/>
          <w:marRight w:val="0"/>
          <w:marTop w:val="0"/>
          <w:marBottom w:val="0"/>
          <w:divBdr>
            <w:top w:val="none" w:sz="0" w:space="0" w:color="auto"/>
            <w:left w:val="none" w:sz="0" w:space="0" w:color="auto"/>
            <w:bottom w:val="none" w:sz="0" w:space="0" w:color="auto"/>
            <w:right w:val="none" w:sz="0" w:space="0" w:color="auto"/>
          </w:divBdr>
        </w:div>
        <w:div w:id="1425885382">
          <w:marLeft w:val="0"/>
          <w:marRight w:val="0"/>
          <w:marTop w:val="0"/>
          <w:marBottom w:val="0"/>
          <w:divBdr>
            <w:top w:val="none" w:sz="0" w:space="0" w:color="auto"/>
            <w:left w:val="none" w:sz="0" w:space="0" w:color="auto"/>
            <w:bottom w:val="none" w:sz="0" w:space="0" w:color="auto"/>
            <w:right w:val="none" w:sz="0" w:space="0" w:color="auto"/>
          </w:divBdr>
        </w:div>
        <w:div w:id="1712027282">
          <w:marLeft w:val="0"/>
          <w:marRight w:val="0"/>
          <w:marTop w:val="0"/>
          <w:marBottom w:val="0"/>
          <w:divBdr>
            <w:top w:val="none" w:sz="0" w:space="0" w:color="auto"/>
            <w:left w:val="none" w:sz="0" w:space="0" w:color="auto"/>
            <w:bottom w:val="none" w:sz="0" w:space="0" w:color="auto"/>
            <w:right w:val="none" w:sz="0" w:space="0" w:color="auto"/>
          </w:divBdr>
        </w:div>
        <w:div w:id="2098280514">
          <w:marLeft w:val="0"/>
          <w:marRight w:val="0"/>
          <w:marTop w:val="0"/>
          <w:marBottom w:val="0"/>
          <w:divBdr>
            <w:top w:val="none" w:sz="0" w:space="0" w:color="auto"/>
            <w:left w:val="none" w:sz="0" w:space="0" w:color="auto"/>
            <w:bottom w:val="none" w:sz="0" w:space="0" w:color="auto"/>
            <w:right w:val="none" w:sz="0" w:space="0" w:color="auto"/>
          </w:divBdr>
        </w:div>
        <w:div w:id="1460102068">
          <w:marLeft w:val="0"/>
          <w:marRight w:val="0"/>
          <w:marTop w:val="0"/>
          <w:marBottom w:val="0"/>
          <w:divBdr>
            <w:top w:val="none" w:sz="0" w:space="0" w:color="auto"/>
            <w:left w:val="none" w:sz="0" w:space="0" w:color="auto"/>
            <w:bottom w:val="none" w:sz="0" w:space="0" w:color="auto"/>
            <w:right w:val="none" w:sz="0" w:space="0" w:color="auto"/>
          </w:divBdr>
        </w:div>
        <w:div w:id="110366856">
          <w:marLeft w:val="0"/>
          <w:marRight w:val="0"/>
          <w:marTop w:val="0"/>
          <w:marBottom w:val="0"/>
          <w:divBdr>
            <w:top w:val="none" w:sz="0" w:space="0" w:color="auto"/>
            <w:left w:val="none" w:sz="0" w:space="0" w:color="auto"/>
            <w:bottom w:val="none" w:sz="0" w:space="0" w:color="auto"/>
            <w:right w:val="none" w:sz="0" w:space="0" w:color="auto"/>
          </w:divBdr>
        </w:div>
        <w:div w:id="1166938916">
          <w:marLeft w:val="0"/>
          <w:marRight w:val="0"/>
          <w:marTop w:val="0"/>
          <w:marBottom w:val="0"/>
          <w:divBdr>
            <w:top w:val="none" w:sz="0" w:space="0" w:color="auto"/>
            <w:left w:val="none" w:sz="0" w:space="0" w:color="auto"/>
            <w:bottom w:val="none" w:sz="0" w:space="0" w:color="auto"/>
            <w:right w:val="none" w:sz="0" w:space="0" w:color="auto"/>
          </w:divBdr>
        </w:div>
        <w:div w:id="1266310903">
          <w:marLeft w:val="0"/>
          <w:marRight w:val="0"/>
          <w:marTop w:val="0"/>
          <w:marBottom w:val="0"/>
          <w:divBdr>
            <w:top w:val="none" w:sz="0" w:space="0" w:color="auto"/>
            <w:left w:val="none" w:sz="0" w:space="0" w:color="auto"/>
            <w:bottom w:val="none" w:sz="0" w:space="0" w:color="auto"/>
            <w:right w:val="none" w:sz="0" w:space="0" w:color="auto"/>
          </w:divBdr>
        </w:div>
        <w:div w:id="1287469387">
          <w:marLeft w:val="0"/>
          <w:marRight w:val="0"/>
          <w:marTop w:val="0"/>
          <w:marBottom w:val="0"/>
          <w:divBdr>
            <w:top w:val="none" w:sz="0" w:space="0" w:color="auto"/>
            <w:left w:val="none" w:sz="0" w:space="0" w:color="auto"/>
            <w:bottom w:val="none" w:sz="0" w:space="0" w:color="auto"/>
            <w:right w:val="none" w:sz="0" w:space="0" w:color="auto"/>
          </w:divBdr>
        </w:div>
        <w:div w:id="460927593">
          <w:marLeft w:val="0"/>
          <w:marRight w:val="0"/>
          <w:marTop w:val="0"/>
          <w:marBottom w:val="0"/>
          <w:divBdr>
            <w:top w:val="none" w:sz="0" w:space="0" w:color="auto"/>
            <w:left w:val="none" w:sz="0" w:space="0" w:color="auto"/>
            <w:bottom w:val="none" w:sz="0" w:space="0" w:color="auto"/>
            <w:right w:val="none" w:sz="0" w:space="0" w:color="auto"/>
          </w:divBdr>
        </w:div>
        <w:div w:id="2005359223">
          <w:marLeft w:val="0"/>
          <w:marRight w:val="0"/>
          <w:marTop w:val="0"/>
          <w:marBottom w:val="0"/>
          <w:divBdr>
            <w:top w:val="none" w:sz="0" w:space="0" w:color="auto"/>
            <w:left w:val="none" w:sz="0" w:space="0" w:color="auto"/>
            <w:bottom w:val="none" w:sz="0" w:space="0" w:color="auto"/>
            <w:right w:val="none" w:sz="0" w:space="0" w:color="auto"/>
          </w:divBdr>
        </w:div>
        <w:div w:id="832716618">
          <w:marLeft w:val="0"/>
          <w:marRight w:val="0"/>
          <w:marTop w:val="0"/>
          <w:marBottom w:val="0"/>
          <w:divBdr>
            <w:top w:val="none" w:sz="0" w:space="0" w:color="auto"/>
            <w:left w:val="none" w:sz="0" w:space="0" w:color="auto"/>
            <w:bottom w:val="none" w:sz="0" w:space="0" w:color="auto"/>
            <w:right w:val="none" w:sz="0" w:space="0" w:color="auto"/>
          </w:divBdr>
        </w:div>
        <w:div w:id="167209657">
          <w:marLeft w:val="0"/>
          <w:marRight w:val="0"/>
          <w:marTop w:val="0"/>
          <w:marBottom w:val="0"/>
          <w:divBdr>
            <w:top w:val="none" w:sz="0" w:space="0" w:color="auto"/>
            <w:left w:val="none" w:sz="0" w:space="0" w:color="auto"/>
            <w:bottom w:val="none" w:sz="0" w:space="0" w:color="auto"/>
            <w:right w:val="none" w:sz="0" w:space="0" w:color="auto"/>
          </w:divBdr>
        </w:div>
        <w:div w:id="1862434580">
          <w:marLeft w:val="0"/>
          <w:marRight w:val="0"/>
          <w:marTop w:val="0"/>
          <w:marBottom w:val="0"/>
          <w:divBdr>
            <w:top w:val="none" w:sz="0" w:space="0" w:color="auto"/>
            <w:left w:val="none" w:sz="0" w:space="0" w:color="auto"/>
            <w:bottom w:val="none" w:sz="0" w:space="0" w:color="auto"/>
            <w:right w:val="none" w:sz="0" w:space="0" w:color="auto"/>
          </w:divBdr>
        </w:div>
        <w:div w:id="1114642050">
          <w:marLeft w:val="0"/>
          <w:marRight w:val="0"/>
          <w:marTop w:val="0"/>
          <w:marBottom w:val="0"/>
          <w:divBdr>
            <w:top w:val="none" w:sz="0" w:space="0" w:color="auto"/>
            <w:left w:val="none" w:sz="0" w:space="0" w:color="auto"/>
            <w:bottom w:val="none" w:sz="0" w:space="0" w:color="auto"/>
            <w:right w:val="none" w:sz="0" w:space="0" w:color="auto"/>
          </w:divBdr>
        </w:div>
        <w:div w:id="2023777650">
          <w:marLeft w:val="0"/>
          <w:marRight w:val="0"/>
          <w:marTop w:val="0"/>
          <w:marBottom w:val="0"/>
          <w:divBdr>
            <w:top w:val="none" w:sz="0" w:space="0" w:color="auto"/>
            <w:left w:val="none" w:sz="0" w:space="0" w:color="auto"/>
            <w:bottom w:val="none" w:sz="0" w:space="0" w:color="auto"/>
            <w:right w:val="none" w:sz="0" w:space="0" w:color="auto"/>
          </w:divBdr>
        </w:div>
        <w:div w:id="1974359367">
          <w:marLeft w:val="0"/>
          <w:marRight w:val="0"/>
          <w:marTop w:val="0"/>
          <w:marBottom w:val="0"/>
          <w:divBdr>
            <w:top w:val="none" w:sz="0" w:space="0" w:color="auto"/>
            <w:left w:val="none" w:sz="0" w:space="0" w:color="auto"/>
            <w:bottom w:val="none" w:sz="0" w:space="0" w:color="auto"/>
            <w:right w:val="none" w:sz="0" w:space="0" w:color="auto"/>
          </w:divBdr>
        </w:div>
        <w:div w:id="937560089">
          <w:marLeft w:val="0"/>
          <w:marRight w:val="0"/>
          <w:marTop w:val="0"/>
          <w:marBottom w:val="0"/>
          <w:divBdr>
            <w:top w:val="none" w:sz="0" w:space="0" w:color="auto"/>
            <w:left w:val="none" w:sz="0" w:space="0" w:color="auto"/>
            <w:bottom w:val="none" w:sz="0" w:space="0" w:color="auto"/>
            <w:right w:val="none" w:sz="0" w:space="0" w:color="auto"/>
          </w:divBdr>
        </w:div>
        <w:div w:id="749350505">
          <w:marLeft w:val="0"/>
          <w:marRight w:val="0"/>
          <w:marTop w:val="0"/>
          <w:marBottom w:val="0"/>
          <w:divBdr>
            <w:top w:val="none" w:sz="0" w:space="0" w:color="auto"/>
            <w:left w:val="none" w:sz="0" w:space="0" w:color="auto"/>
            <w:bottom w:val="none" w:sz="0" w:space="0" w:color="auto"/>
            <w:right w:val="none" w:sz="0" w:space="0" w:color="auto"/>
          </w:divBdr>
        </w:div>
        <w:div w:id="2112239705">
          <w:marLeft w:val="0"/>
          <w:marRight w:val="0"/>
          <w:marTop w:val="0"/>
          <w:marBottom w:val="0"/>
          <w:divBdr>
            <w:top w:val="none" w:sz="0" w:space="0" w:color="auto"/>
            <w:left w:val="none" w:sz="0" w:space="0" w:color="auto"/>
            <w:bottom w:val="none" w:sz="0" w:space="0" w:color="auto"/>
            <w:right w:val="none" w:sz="0" w:space="0" w:color="auto"/>
          </w:divBdr>
        </w:div>
        <w:div w:id="1152409057">
          <w:marLeft w:val="0"/>
          <w:marRight w:val="0"/>
          <w:marTop w:val="0"/>
          <w:marBottom w:val="0"/>
          <w:divBdr>
            <w:top w:val="none" w:sz="0" w:space="0" w:color="auto"/>
            <w:left w:val="none" w:sz="0" w:space="0" w:color="auto"/>
            <w:bottom w:val="none" w:sz="0" w:space="0" w:color="auto"/>
            <w:right w:val="none" w:sz="0" w:space="0" w:color="auto"/>
          </w:divBdr>
        </w:div>
        <w:div w:id="884217330">
          <w:marLeft w:val="0"/>
          <w:marRight w:val="0"/>
          <w:marTop w:val="0"/>
          <w:marBottom w:val="0"/>
          <w:divBdr>
            <w:top w:val="none" w:sz="0" w:space="0" w:color="auto"/>
            <w:left w:val="none" w:sz="0" w:space="0" w:color="auto"/>
            <w:bottom w:val="none" w:sz="0" w:space="0" w:color="auto"/>
            <w:right w:val="none" w:sz="0" w:space="0" w:color="auto"/>
          </w:divBdr>
        </w:div>
        <w:div w:id="87777917">
          <w:marLeft w:val="0"/>
          <w:marRight w:val="0"/>
          <w:marTop w:val="0"/>
          <w:marBottom w:val="0"/>
          <w:divBdr>
            <w:top w:val="none" w:sz="0" w:space="0" w:color="auto"/>
            <w:left w:val="none" w:sz="0" w:space="0" w:color="auto"/>
            <w:bottom w:val="none" w:sz="0" w:space="0" w:color="auto"/>
            <w:right w:val="none" w:sz="0" w:space="0" w:color="auto"/>
          </w:divBdr>
        </w:div>
        <w:div w:id="110101616">
          <w:marLeft w:val="0"/>
          <w:marRight w:val="0"/>
          <w:marTop w:val="0"/>
          <w:marBottom w:val="0"/>
          <w:divBdr>
            <w:top w:val="none" w:sz="0" w:space="0" w:color="auto"/>
            <w:left w:val="none" w:sz="0" w:space="0" w:color="auto"/>
            <w:bottom w:val="none" w:sz="0" w:space="0" w:color="auto"/>
            <w:right w:val="none" w:sz="0" w:space="0" w:color="auto"/>
          </w:divBdr>
        </w:div>
        <w:div w:id="1422677785">
          <w:marLeft w:val="0"/>
          <w:marRight w:val="0"/>
          <w:marTop w:val="0"/>
          <w:marBottom w:val="0"/>
          <w:divBdr>
            <w:top w:val="none" w:sz="0" w:space="0" w:color="auto"/>
            <w:left w:val="none" w:sz="0" w:space="0" w:color="auto"/>
            <w:bottom w:val="none" w:sz="0" w:space="0" w:color="auto"/>
            <w:right w:val="none" w:sz="0" w:space="0" w:color="auto"/>
          </w:divBdr>
        </w:div>
        <w:div w:id="2016883582">
          <w:marLeft w:val="0"/>
          <w:marRight w:val="0"/>
          <w:marTop w:val="0"/>
          <w:marBottom w:val="0"/>
          <w:divBdr>
            <w:top w:val="none" w:sz="0" w:space="0" w:color="auto"/>
            <w:left w:val="none" w:sz="0" w:space="0" w:color="auto"/>
            <w:bottom w:val="none" w:sz="0" w:space="0" w:color="auto"/>
            <w:right w:val="none" w:sz="0" w:space="0" w:color="auto"/>
          </w:divBdr>
        </w:div>
        <w:div w:id="104347838">
          <w:marLeft w:val="0"/>
          <w:marRight w:val="0"/>
          <w:marTop w:val="0"/>
          <w:marBottom w:val="0"/>
          <w:divBdr>
            <w:top w:val="none" w:sz="0" w:space="0" w:color="auto"/>
            <w:left w:val="none" w:sz="0" w:space="0" w:color="auto"/>
            <w:bottom w:val="none" w:sz="0" w:space="0" w:color="auto"/>
            <w:right w:val="none" w:sz="0" w:space="0" w:color="auto"/>
          </w:divBdr>
        </w:div>
        <w:div w:id="1856379844">
          <w:marLeft w:val="0"/>
          <w:marRight w:val="0"/>
          <w:marTop w:val="0"/>
          <w:marBottom w:val="0"/>
          <w:divBdr>
            <w:top w:val="none" w:sz="0" w:space="0" w:color="auto"/>
            <w:left w:val="none" w:sz="0" w:space="0" w:color="auto"/>
            <w:bottom w:val="none" w:sz="0" w:space="0" w:color="auto"/>
            <w:right w:val="none" w:sz="0" w:space="0" w:color="auto"/>
          </w:divBdr>
        </w:div>
        <w:div w:id="1244335605">
          <w:marLeft w:val="0"/>
          <w:marRight w:val="0"/>
          <w:marTop w:val="0"/>
          <w:marBottom w:val="0"/>
          <w:divBdr>
            <w:top w:val="none" w:sz="0" w:space="0" w:color="auto"/>
            <w:left w:val="none" w:sz="0" w:space="0" w:color="auto"/>
            <w:bottom w:val="none" w:sz="0" w:space="0" w:color="auto"/>
            <w:right w:val="none" w:sz="0" w:space="0" w:color="auto"/>
          </w:divBdr>
        </w:div>
        <w:div w:id="71200407">
          <w:marLeft w:val="0"/>
          <w:marRight w:val="0"/>
          <w:marTop w:val="0"/>
          <w:marBottom w:val="0"/>
          <w:divBdr>
            <w:top w:val="none" w:sz="0" w:space="0" w:color="auto"/>
            <w:left w:val="none" w:sz="0" w:space="0" w:color="auto"/>
            <w:bottom w:val="none" w:sz="0" w:space="0" w:color="auto"/>
            <w:right w:val="none" w:sz="0" w:space="0" w:color="auto"/>
          </w:divBdr>
        </w:div>
        <w:div w:id="871529146">
          <w:marLeft w:val="0"/>
          <w:marRight w:val="0"/>
          <w:marTop w:val="0"/>
          <w:marBottom w:val="0"/>
          <w:divBdr>
            <w:top w:val="none" w:sz="0" w:space="0" w:color="auto"/>
            <w:left w:val="none" w:sz="0" w:space="0" w:color="auto"/>
            <w:bottom w:val="none" w:sz="0" w:space="0" w:color="auto"/>
            <w:right w:val="none" w:sz="0" w:space="0" w:color="auto"/>
          </w:divBdr>
        </w:div>
        <w:div w:id="1742020701">
          <w:marLeft w:val="0"/>
          <w:marRight w:val="0"/>
          <w:marTop w:val="0"/>
          <w:marBottom w:val="0"/>
          <w:divBdr>
            <w:top w:val="none" w:sz="0" w:space="0" w:color="auto"/>
            <w:left w:val="none" w:sz="0" w:space="0" w:color="auto"/>
            <w:bottom w:val="none" w:sz="0" w:space="0" w:color="auto"/>
            <w:right w:val="none" w:sz="0" w:space="0" w:color="auto"/>
          </w:divBdr>
        </w:div>
        <w:div w:id="296186293">
          <w:marLeft w:val="0"/>
          <w:marRight w:val="0"/>
          <w:marTop w:val="0"/>
          <w:marBottom w:val="0"/>
          <w:divBdr>
            <w:top w:val="none" w:sz="0" w:space="0" w:color="auto"/>
            <w:left w:val="none" w:sz="0" w:space="0" w:color="auto"/>
            <w:bottom w:val="none" w:sz="0" w:space="0" w:color="auto"/>
            <w:right w:val="none" w:sz="0" w:space="0" w:color="auto"/>
          </w:divBdr>
        </w:div>
        <w:div w:id="1304700727">
          <w:marLeft w:val="0"/>
          <w:marRight w:val="0"/>
          <w:marTop w:val="0"/>
          <w:marBottom w:val="0"/>
          <w:divBdr>
            <w:top w:val="none" w:sz="0" w:space="0" w:color="auto"/>
            <w:left w:val="none" w:sz="0" w:space="0" w:color="auto"/>
            <w:bottom w:val="none" w:sz="0" w:space="0" w:color="auto"/>
            <w:right w:val="none" w:sz="0" w:space="0" w:color="auto"/>
          </w:divBdr>
        </w:div>
        <w:div w:id="2074306857">
          <w:marLeft w:val="0"/>
          <w:marRight w:val="0"/>
          <w:marTop w:val="0"/>
          <w:marBottom w:val="0"/>
          <w:divBdr>
            <w:top w:val="none" w:sz="0" w:space="0" w:color="auto"/>
            <w:left w:val="none" w:sz="0" w:space="0" w:color="auto"/>
            <w:bottom w:val="none" w:sz="0" w:space="0" w:color="auto"/>
            <w:right w:val="none" w:sz="0" w:space="0" w:color="auto"/>
          </w:divBdr>
        </w:div>
        <w:div w:id="2116289324">
          <w:marLeft w:val="0"/>
          <w:marRight w:val="0"/>
          <w:marTop w:val="0"/>
          <w:marBottom w:val="0"/>
          <w:divBdr>
            <w:top w:val="none" w:sz="0" w:space="0" w:color="auto"/>
            <w:left w:val="none" w:sz="0" w:space="0" w:color="auto"/>
            <w:bottom w:val="none" w:sz="0" w:space="0" w:color="auto"/>
            <w:right w:val="none" w:sz="0" w:space="0" w:color="auto"/>
          </w:divBdr>
        </w:div>
        <w:div w:id="1207792753">
          <w:marLeft w:val="0"/>
          <w:marRight w:val="0"/>
          <w:marTop w:val="0"/>
          <w:marBottom w:val="0"/>
          <w:divBdr>
            <w:top w:val="none" w:sz="0" w:space="0" w:color="auto"/>
            <w:left w:val="none" w:sz="0" w:space="0" w:color="auto"/>
            <w:bottom w:val="none" w:sz="0" w:space="0" w:color="auto"/>
            <w:right w:val="none" w:sz="0" w:space="0" w:color="auto"/>
          </w:divBdr>
        </w:div>
        <w:div w:id="1348172996">
          <w:marLeft w:val="0"/>
          <w:marRight w:val="0"/>
          <w:marTop w:val="0"/>
          <w:marBottom w:val="0"/>
          <w:divBdr>
            <w:top w:val="none" w:sz="0" w:space="0" w:color="auto"/>
            <w:left w:val="none" w:sz="0" w:space="0" w:color="auto"/>
            <w:bottom w:val="none" w:sz="0" w:space="0" w:color="auto"/>
            <w:right w:val="none" w:sz="0" w:space="0" w:color="auto"/>
          </w:divBdr>
        </w:div>
        <w:div w:id="192377535">
          <w:marLeft w:val="0"/>
          <w:marRight w:val="0"/>
          <w:marTop w:val="0"/>
          <w:marBottom w:val="0"/>
          <w:divBdr>
            <w:top w:val="none" w:sz="0" w:space="0" w:color="auto"/>
            <w:left w:val="none" w:sz="0" w:space="0" w:color="auto"/>
            <w:bottom w:val="none" w:sz="0" w:space="0" w:color="auto"/>
            <w:right w:val="none" w:sz="0" w:space="0" w:color="auto"/>
          </w:divBdr>
        </w:div>
        <w:div w:id="1000504200">
          <w:marLeft w:val="0"/>
          <w:marRight w:val="0"/>
          <w:marTop w:val="0"/>
          <w:marBottom w:val="0"/>
          <w:divBdr>
            <w:top w:val="none" w:sz="0" w:space="0" w:color="auto"/>
            <w:left w:val="none" w:sz="0" w:space="0" w:color="auto"/>
            <w:bottom w:val="none" w:sz="0" w:space="0" w:color="auto"/>
            <w:right w:val="none" w:sz="0" w:space="0" w:color="auto"/>
          </w:divBdr>
        </w:div>
        <w:div w:id="1282690213">
          <w:marLeft w:val="0"/>
          <w:marRight w:val="0"/>
          <w:marTop w:val="0"/>
          <w:marBottom w:val="0"/>
          <w:divBdr>
            <w:top w:val="none" w:sz="0" w:space="0" w:color="auto"/>
            <w:left w:val="none" w:sz="0" w:space="0" w:color="auto"/>
            <w:bottom w:val="none" w:sz="0" w:space="0" w:color="auto"/>
            <w:right w:val="none" w:sz="0" w:space="0" w:color="auto"/>
          </w:divBdr>
        </w:div>
        <w:div w:id="32077686">
          <w:marLeft w:val="0"/>
          <w:marRight w:val="0"/>
          <w:marTop w:val="0"/>
          <w:marBottom w:val="0"/>
          <w:divBdr>
            <w:top w:val="none" w:sz="0" w:space="0" w:color="auto"/>
            <w:left w:val="none" w:sz="0" w:space="0" w:color="auto"/>
            <w:bottom w:val="none" w:sz="0" w:space="0" w:color="auto"/>
            <w:right w:val="none" w:sz="0" w:space="0" w:color="auto"/>
          </w:divBdr>
        </w:div>
        <w:div w:id="415785442">
          <w:marLeft w:val="0"/>
          <w:marRight w:val="0"/>
          <w:marTop w:val="0"/>
          <w:marBottom w:val="0"/>
          <w:divBdr>
            <w:top w:val="none" w:sz="0" w:space="0" w:color="auto"/>
            <w:left w:val="none" w:sz="0" w:space="0" w:color="auto"/>
            <w:bottom w:val="none" w:sz="0" w:space="0" w:color="auto"/>
            <w:right w:val="none" w:sz="0" w:space="0" w:color="auto"/>
          </w:divBdr>
        </w:div>
        <w:div w:id="840390366">
          <w:marLeft w:val="0"/>
          <w:marRight w:val="0"/>
          <w:marTop w:val="0"/>
          <w:marBottom w:val="0"/>
          <w:divBdr>
            <w:top w:val="none" w:sz="0" w:space="0" w:color="auto"/>
            <w:left w:val="none" w:sz="0" w:space="0" w:color="auto"/>
            <w:bottom w:val="none" w:sz="0" w:space="0" w:color="auto"/>
            <w:right w:val="none" w:sz="0" w:space="0" w:color="auto"/>
          </w:divBdr>
        </w:div>
        <w:div w:id="728309661">
          <w:marLeft w:val="0"/>
          <w:marRight w:val="0"/>
          <w:marTop w:val="0"/>
          <w:marBottom w:val="0"/>
          <w:divBdr>
            <w:top w:val="none" w:sz="0" w:space="0" w:color="auto"/>
            <w:left w:val="none" w:sz="0" w:space="0" w:color="auto"/>
            <w:bottom w:val="none" w:sz="0" w:space="0" w:color="auto"/>
            <w:right w:val="none" w:sz="0" w:space="0" w:color="auto"/>
          </w:divBdr>
        </w:div>
        <w:div w:id="1297488858">
          <w:marLeft w:val="0"/>
          <w:marRight w:val="0"/>
          <w:marTop w:val="0"/>
          <w:marBottom w:val="0"/>
          <w:divBdr>
            <w:top w:val="none" w:sz="0" w:space="0" w:color="auto"/>
            <w:left w:val="none" w:sz="0" w:space="0" w:color="auto"/>
            <w:bottom w:val="none" w:sz="0" w:space="0" w:color="auto"/>
            <w:right w:val="none" w:sz="0" w:space="0" w:color="auto"/>
          </w:divBdr>
        </w:div>
      </w:divsChild>
    </w:div>
    <w:div w:id="296226721">
      <w:bodyDiv w:val="1"/>
      <w:marLeft w:val="0"/>
      <w:marRight w:val="0"/>
      <w:marTop w:val="0"/>
      <w:marBottom w:val="0"/>
      <w:divBdr>
        <w:top w:val="none" w:sz="0" w:space="0" w:color="auto"/>
        <w:left w:val="none" w:sz="0" w:space="0" w:color="auto"/>
        <w:bottom w:val="none" w:sz="0" w:space="0" w:color="auto"/>
        <w:right w:val="none" w:sz="0" w:space="0" w:color="auto"/>
      </w:divBdr>
      <w:divsChild>
        <w:div w:id="1771389865">
          <w:marLeft w:val="547"/>
          <w:marRight w:val="0"/>
          <w:marTop w:val="0"/>
          <w:marBottom w:val="0"/>
          <w:divBdr>
            <w:top w:val="none" w:sz="0" w:space="0" w:color="auto"/>
            <w:left w:val="none" w:sz="0" w:space="0" w:color="auto"/>
            <w:bottom w:val="none" w:sz="0" w:space="0" w:color="auto"/>
            <w:right w:val="none" w:sz="0" w:space="0" w:color="auto"/>
          </w:divBdr>
        </w:div>
        <w:div w:id="575021381">
          <w:marLeft w:val="547"/>
          <w:marRight w:val="0"/>
          <w:marTop w:val="0"/>
          <w:marBottom w:val="0"/>
          <w:divBdr>
            <w:top w:val="none" w:sz="0" w:space="0" w:color="auto"/>
            <w:left w:val="none" w:sz="0" w:space="0" w:color="auto"/>
            <w:bottom w:val="none" w:sz="0" w:space="0" w:color="auto"/>
            <w:right w:val="none" w:sz="0" w:space="0" w:color="auto"/>
          </w:divBdr>
        </w:div>
        <w:div w:id="1234512536">
          <w:marLeft w:val="547"/>
          <w:marRight w:val="0"/>
          <w:marTop w:val="0"/>
          <w:marBottom w:val="0"/>
          <w:divBdr>
            <w:top w:val="none" w:sz="0" w:space="0" w:color="auto"/>
            <w:left w:val="none" w:sz="0" w:space="0" w:color="auto"/>
            <w:bottom w:val="none" w:sz="0" w:space="0" w:color="auto"/>
            <w:right w:val="none" w:sz="0" w:space="0" w:color="auto"/>
          </w:divBdr>
        </w:div>
        <w:div w:id="1186679331">
          <w:marLeft w:val="547"/>
          <w:marRight w:val="0"/>
          <w:marTop w:val="0"/>
          <w:marBottom w:val="0"/>
          <w:divBdr>
            <w:top w:val="none" w:sz="0" w:space="0" w:color="auto"/>
            <w:left w:val="none" w:sz="0" w:space="0" w:color="auto"/>
            <w:bottom w:val="none" w:sz="0" w:space="0" w:color="auto"/>
            <w:right w:val="none" w:sz="0" w:space="0" w:color="auto"/>
          </w:divBdr>
        </w:div>
        <w:div w:id="930966055">
          <w:marLeft w:val="547"/>
          <w:marRight w:val="0"/>
          <w:marTop w:val="0"/>
          <w:marBottom w:val="0"/>
          <w:divBdr>
            <w:top w:val="none" w:sz="0" w:space="0" w:color="auto"/>
            <w:left w:val="none" w:sz="0" w:space="0" w:color="auto"/>
            <w:bottom w:val="none" w:sz="0" w:space="0" w:color="auto"/>
            <w:right w:val="none" w:sz="0" w:space="0" w:color="auto"/>
          </w:divBdr>
        </w:div>
      </w:divsChild>
    </w:div>
    <w:div w:id="340741910">
      <w:bodyDiv w:val="1"/>
      <w:marLeft w:val="0"/>
      <w:marRight w:val="0"/>
      <w:marTop w:val="0"/>
      <w:marBottom w:val="0"/>
      <w:divBdr>
        <w:top w:val="none" w:sz="0" w:space="0" w:color="auto"/>
        <w:left w:val="none" w:sz="0" w:space="0" w:color="auto"/>
        <w:bottom w:val="none" w:sz="0" w:space="0" w:color="auto"/>
        <w:right w:val="none" w:sz="0" w:space="0" w:color="auto"/>
      </w:divBdr>
    </w:div>
    <w:div w:id="342515060">
      <w:bodyDiv w:val="1"/>
      <w:marLeft w:val="0"/>
      <w:marRight w:val="0"/>
      <w:marTop w:val="0"/>
      <w:marBottom w:val="0"/>
      <w:divBdr>
        <w:top w:val="none" w:sz="0" w:space="0" w:color="auto"/>
        <w:left w:val="none" w:sz="0" w:space="0" w:color="auto"/>
        <w:bottom w:val="none" w:sz="0" w:space="0" w:color="auto"/>
        <w:right w:val="none" w:sz="0" w:space="0" w:color="auto"/>
      </w:divBdr>
    </w:div>
    <w:div w:id="602953021">
      <w:bodyDiv w:val="1"/>
      <w:marLeft w:val="0"/>
      <w:marRight w:val="0"/>
      <w:marTop w:val="0"/>
      <w:marBottom w:val="0"/>
      <w:divBdr>
        <w:top w:val="none" w:sz="0" w:space="0" w:color="auto"/>
        <w:left w:val="none" w:sz="0" w:space="0" w:color="auto"/>
        <w:bottom w:val="none" w:sz="0" w:space="0" w:color="auto"/>
        <w:right w:val="none" w:sz="0" w:space="0" w:color="auto"/>
      </w:divBdr>
      <w:divsChild>
        <w:div w:id="1800147898">
          <w:marLeft w:val="0"/>
          <w:marRight w:val="0"/>
          <w:marTop w:val="0"/>
          <w:marBottom w:val="0"/>
          <w:divBdr>
            <w:top w:val="none" w:sz="0" w:space="0" w:color="auto"/>
            <w:left w:val="none" w:sz="0" w:space="0" w:color="auto"/>
            <w:bottom w:val="none" w:sz="0" w:space="0" w:color="auto"/>
            <w:right w:val="none" w:sz="0" w:space="0" w:color="auto"/>
          </w:divBdr>
        </w:div>
        <w:div w:id="1217544304">
          <w:marLeft w:val="0"/>
          <w:marRight w:val="0"/>
          <w:marTop w:val="0"/>
          <w:marBottom w:val="0"/>
          <w:divBdr>
            <w:top w:val="none" w:sz="0" w:space="0" w:color="auto"/>
            <w:left w:val="none" w:sz="0" w:space="0" w:color="auto"/>
            <w:bottom w:val="none" w:sz="0" w:space="0" w:color="auto"/>
            <w:right w:val="none" w:sz="0" w:space="0" w:color="auto"/>
          </w:divBdr>
        </w:div>
        <w:div w:id="693187664">
          <w:marLeft w:val="0"/>
          <w:marRight w:val="0"/>
          <w:marTop w:val="0"/>
          <w:marBottom w:val="0"/>
          <w:divBdr>
            <w:top w:val="none" w:sz="0" w:space="0" w:color="auto"/>
            <w:left w:val="none" w:sz="0" w:space="0" w:color="auto"/>
            <w:bottom w:val="none" w:sz="0" w:space="0" w:color="auto"/>
            <w:right w:val="none" w:sz="0" w:space="0" w:color="auto"/>
          </w:divBdr>
        </w:div>
        <w:div w:id="2007661530">
          <w:marLeft w:val="0"/>
          <w:marRight w:val="0"/>
          <w:marTop w:val="0"/>
          <w:marBottom w:val="0"/>
          <w:divBdr>
            <w:top w:val="none" w:sz="0" w:space="0" w:color="auto"/>
            <w:left w:val="none" w:sz="0" w:space="0" w:color="auto"/>
            <w:bottom w:val="none" w:sz="0" w:space="0" w:color="auto"/>
            <w:right w:val="none" w:sz="0" w:space="0" w:color="auto"/>
          </w:divBdr>
        </w:div>
        <w:div w:id="1992782970">
          <w:marLeft w:val="0"/>
          <w:marRight w:val="0"/>
          <w:marTop w:val="0"/>
          <w:marBottom w:val="0"/>
          <w:divBdr>
            <w:top w:val="none" w:sz="0" w:space="0" w:color="auto"/>
            <w:left w:val="none" w:sz="0" w:space="0" w:color="auto"/>
            <w:bottom w:val="none" w:sz="0" w:space="0" w:color="auto"/>
            <w:right w:val="none" w:sz="0" w:space="0" w:color="auto"/>
          </w:divBdr>
        </w:div>
        <w:div w:id="234560220">
          <w:marLeft w:val="0"/>
          <w:marRight w:val="0"/>
          <w:marTop w:val="0"/>
          <w:marBottom w:val="0"/>
          <w:divBdr>
            <w:top w:val="none" w:sz="0" w:space="0" w:color="auto"/>
            <w:left w:val="none" w:sz="0" w:space="0" w:color="auto"/>
            <w:bottom w:val="none" w:sz="0" w:space="0" w:color="auto"/>
            <w:right w:val="none" w:sz="0" w:space="0" w:color="auto"/>
          </w:divBdr>
        </w:div>
        <w:div w:id="1816676414">
          <w:marLeft w:val="0"/>
          <w:marRight w:val="0"/>
          <w:marTop w:val="0"/>
          <w:marBottom w:val="0"/>
          <w:divBdr>
            <w:top w:val="none" w:sz="0" w:space="0" w:color="auto"/>
            <w:left w:val="none" w:sz="0" w:space="0" w:color="auto"/>
            <w:bottom w:val="none" w:sz="0" w:space="0" w:color="auto"/>
            <w:right w:val="none" w:sz="0" w:space="0" w:color="auto"/>
          </w:divBdr>
        </w:div>
        <w:div w:id="226427488">
          <w:marLeft w:val="0"/>
          <w:marRight w:val="0"/>
          <w:marTop w:val="0"/>
          <w:marBottom w:val="0"/>
          <w:divBdr>
            <w:top w:val="none" w:sz="0" w:space="0" w:color="auto"/>
            <w:left w:val="none" w:sz="0" w:space="0" w:color="auto"/>
            <w:bottom w:val="none" w:sz="0" w:space="0" w:color="auto"/>
            <w:right w:val="none" w:sz="0" w:space="0" w:color="auto"/>
          </w:divBdr>
        </w:div>
        <w:div w:id="400719441">
          <w:marLeft w:val="0"/>
          <w:marRight w:val="0"/>
          <w:marTop w:val="0"/>
          <w:marBottom w:val="0"/>
          <w:divBdr>
            <w:top w:val="none" w:sz="0" w:space="0" w:color="auto"/>
            <w:left w:val="none" w:sz="0" w:space="0" w:color="auto"/>
            <w:bottom w:val="none" w:sz="0" w:space="0" w:color="auto"/>
            <w:right w:val="none" w:sz="0" w:space="0" w:color="auto"/>
          </w:divBdr>
        </w:div>
        <w:div w:id="432552693">
          <w:marLeft w:val="0"/>
          <w:marRight w:val="0"/>
          <w:marTop w:val="0"/>
          <w:marBottom w:val="0"/>
          <w:divBdr>
            <w:top w:val="none" w:sz="0" w:space="0" w:color="auto"/>
            <w:left w:val="none" w:sz="0" w:space="0" w:color="auto"/>
            <w:bottom w:val="none" w:sz="0" w:space="0" w:color="auto"/>
            <w:right w:val="none" w:sz="0" w:space="0" w:color="auto"/>
          </w:divBdr>
        </w:div>
        <w:div w:id="1735396484">
          <w:marLeft w:val="0"/>
          <w:marRight w:val="0"/>
          <w:marTop w:val="0"/>
          <w:marBottom w:val="0"/>
          <w:divBdr>
            <w:top w:val="none" w:sz="0" w:space="0" w:color="auto"/>
            <w:left w:val="none" w:sz="0" w:space="0" w:color="auto"/>
            <w:bottom w:val="none" w:sz="0" w:space="0" w:color="auto"/>
            <w:right w:val="none" w:sz="0" w:space="0" w:color="auto"/>
          </w:divBdr>
        </w:div>
        <w:div w:id="893857096">
          <w:marLeft w:val="0"/>
          <w:marRight w:val="0"/>
          <w:marTop w:val="0"/>
          <w:marBottom w:val="0"/>
          <w:divBdr>
            <w:top w:val="none" w:sz="0" w:space="0" w:color="auto"/>
            <w:left w:val="none" w:sz="0" w:space="0" w:color="auto"/>
            <w:bottom w:val="none" w:sz="0" w:space="0" w:color="auto"/>
            <w:right w:val="none" w:sz="0" w:space="0" w:color="auto"/>
          </w:divBdr>
        </w:div>
        <w:div w:id="832527973">
          <w:marLeft w:val="0"/>
          <w:marRight w:val="0"/>
          <w:marTop w:val="0"/>
          <w:marBottom w:val="0"/>
          <w:divBdr>
            <w:top w:val="none" w:sz="0" w:space="0" w:color="auto"/>
            <w:left w:val="none" w:sz="0" w:space="0" w:color="auto"/>
            <w:bottom w:val="none" w:sz="0" w:space="0" w:color="auto"/>
            <w:right w:val="none" w:sz="0" w:space="0" w:color="auto"/>
          </w:divBdr>
        </w:div>
        <w:div w:id="1891452330">
          <w:marLeft w:val="0"/>
          <w:marRight w:val="0"/>
          <w:marTop w:val="0"/>
          <w:marBottom w:val="0"/>
          <w:divBdr>
            <w:top w:val="none" w:sz="0" w:space="0" w:color="auto"/>
            <w:left w:val="none" w:sz="0" w:space="0" w:color="auto"/>
            <w:bottom w:val="none" w:sz="0" w:space="0" w:color="auto"/>
            <w:right w:val="none" w:sz="0" w:space="0" w:color="auto"/>
          </w:divBdr>
        </w:div>
        <w:div w:id="829904033">
          <w:marLeft w:val="0"/>
          <w:marRight w:val="0"/>
          <w:marTop w:val="0"/>
          <w:marBottom w:val="0"/>
          <w:divBdr>
            <w:top w:val="none" w:sz="0" w:space="0" w:color="auto"/>
            <w:left w:val="none" w:sz="0" w:space="0" w:color="auto"/>
            <w:bottom w:val="none" w:sz="0" w:space="0" w:color="auto"/>
            <w:right w:val="none" w:sz="0" w:space="0" w:color="auto"/>
          </w:divBdr>
        </w:div>
        <w:div w:id="868031199">
          <w:marLeft w:val="0"/>
          <w:marRight w:val="0"/>
          <w:marTop w:val="0"/>
          <w:marBottom w:val="0"/>
          <w:divBdr>
            <w:top w:val="none" w:sz="0" w:space="0" w:color="auto"/>
            <w:left w:val="none" w:sz="0" w:space="0" w:color="auto"/>
            <w:bottom w:val="none" w:sz="0" w:space="0" w:color="auto"/>
            <w:right w:val="none" w:sz="0" w:space="0" w:color="auto"/>
          </w:divBdr>
        </w:div>
        <w:div w:id="1613900696">
          <w:marLeft w:val="0"/>
          <w:marRight w:val="0"/>
          <w:marTop w:val="0"/>
          <w:marBottom w:val="0"/>
          <w:divBdr>
            <w:top w:val="none" w:sz="0" w:space="0" w:color="auto"/>
            <w:left w:val="none" w:sz="0" w:space="0" w:color="auto"/>
            <w:bottom w:val="none" w:sz="0" w:space="0" w:color="auto"/>
            <w:right w:val="none" w:sz="0" w:space="0" w:color="auto"/>
          </w:divBdr>
        </w:div>
        <w:div w:id="135611957">
          <w:marLeft w:val="0"/>
          <w:marRight w:val="0"/>
          <w:marTop w:val="0"/>
          <w:marBottom w:val="0"/>
          <w:divBdr>
            <w:top w:val="none" w:sz="0" w:space="0" w:color="auto"/>
            <w:left w:val="none" w:sz="0" w:space="0" w:color="auto"/>
            <w:bottom w:val="none" w:sz="0" w:space="0" w:color="auto"/>
            <w:right w:val="none" w:sz="0" w:space="0" w:color="auto"/>
          </w:divBdr>
        </w:div>
        <w:div w:id="1986619784">
          <w:marLeft w:val="0"/>
          <w:marRight w:val="0"/>
          <w:marTop w:val="0"/>
          <w:marBottom w:val="0"/>
          <w:divBdr>
            <w:top w:val="none" w:sz="0" w:space="0" w:color="auto"/>
            <w:left w:val="none" w:sz="0" w:space="0" w:color="auto"/>
            <w:bottom w:val="none" w:sz="0" w:space="0" w:color="auto"/>
            <w:right w:val="none" w:sz="0" w:space="0" w:color="auto"/>
          </w:divBdr>
        </w:div>
        <w:div w:id="931666035">
          <w:marLeft w:val="0"/>
          <w:marRight w:val="0"/>
          <w:marTop w:val="0"/>
          <w:marBottom w:val="0"/>
          <w:divBdr>
            <w:top w:val="none" w:sz="0" w:space="0" w:color="auto"/>
            <w:left w:val="none" w:sz="0" w:space="0" w:color="auto"/>
            <w:bottom w:val="none" w:sz="0" w:space="0" w:color="auto"/>
            <w:right w:val="none" w:sz="0" w:space="0" w:color="auto"/>
          </w:divBdr>
        </w:div>
        <w:div w:id="2093116205">
          <w:marLeft w:val="0"/>
          <w:marRight w:val="0"/>
          <w:marTop w:val="0"/>
          <w:marBottom w:val="0"/>
          <w:divBdr>
            <w:top w:val="none" w:sz="0" w:space="0" w:color="auto"/>
            <w:left w:val="none" w:sz="0" w:space="0" w:color="auto"/>
            <w:bottom w:val="none" w:sz="0" w:space="0" w:color="auto"/>
            <w:right w:val="none" w:sz="0" w:space="0" w:color="auto"/>
          </w:divBdr>
        </w:div>
        <w:div w:id="1321621917">
          <w:marLeft w:val="0"/>
          <w:marRight w:val="0"/>
          <w:marTop w:val="0"/>
          <w:marBottom w:val="0"/>
          <w:divBdr>
            <w:top w:val="none" w:sz="0" w:space="0" w:color="auto"/>
            <w:left w:val="none" w:sz="0" w:space="0" w:color="auto"/>
            <w:bottom w:val="none" w:sz="0" w:space="0" w:color="auto"/>
            <w:right w:val="none" w:sz="0" w:space="0" w:color="auto"/>
          </w:divBdr>
        </w:div>
        <w:div w:id="1923290449">
          <w:marLeft w:val="0"/>
          <w:marRight w:val="0"/>
          <w:marTop w:val="0"/>
          <w:marBottom w:val="0"/>
          <w:divBdr>
            <w:top w:val="none" w:sz="0" w:space="0" w:color="auto"/>
            <w:left w:val="none" w:sz="0" w:space="0" w:color="auto"/>
            <w:bottom w:val="none" w:sz="0" w:space="0" w:color="auto"/>
            <w:right w:val="none" w:sz="0" w:space="0" w:color="auto"/>
          </w:divBdr>
        </w:div>
        <w:div w:id="1324814734">
          <w:marLeft w:val="0"/>
          <w:marRight w:val="0"/>
          <w:marTop w:val="0"/>
          <w:marBottom w:val="0"/>
          <w:divBdr>
            <w:top w:val="none" w:sz="0" w:space="0" w:color="auto"/>
            <w:left w:val="none" w:sz="0" w:space="0" w:color="auto"/>
            <w:bottom w:val="none" w:sz="0" w:space="0" w:color="auto"/>
            <w:right w:val="none" w:sz="0" w:space="0" w:color="auto"/>
          </w:divBdr>
        </w:div>
        <w:div w:id="1991792083">
          <w:marLeft w:val="0"/>
          <w:marRight w:val="0"/>
          <w:marTop w:val="0"/>
          <w:marBottom w:val="0"/>
          <w:divBdr>
            <w:top w:val="none" w:sz="0" w:space="0" w:color="auto"/>
            <w:left w:val="none" w:sz="0" w:space="0" w:color="auto"/>
            <w:bottom w:val="none" w:sz="0" w:space="0" w:color="auto"/>
            <w:right w:val="none" w:sz="0" w:space="0" w:color="auto"/>
          </w:divBdr>
        </w:div>
        <w:div w:id="712382731">
          <w:marLeft w:val="0"/>
          <w:marRight w:val="0"/>
          <w:marTop w:val="0"/>
          <w:marBottom w:val="0"/>
          <w:divBdr>
            <w:top w:val="none" w:sz="0" w:space="0" w:color="auto"/>
            <w:left w:val="none" w:sz="0" w:space="0" w:color="auto"/>
            <w:bottom w:val="none" w:sz="0" w:space="0" w:color="auto"/>
            <w:right w:val="none" w:sz="0" w:space="0" w:color="auto"/>
          </w:divBdr>
        </w:div>
        <w:div w:id="1351754916">
          <w:marLeft w:val="0"/>
          <w:marRight w:val="0"/>
          <w:marTop w:val="0"/>
          <w:marBottom w:val="0"/>
          <w:divBdr>
            <w:top w:val="none" w:sz="0" w:space="0" w:color="auto"/>
            <w:left w:val="none" w:sz="0" w:space="0" w:color="auto"/>
            <w:bottom w:val="none" w:sz="0" w:space="0" w:color="auto"/>
            <w:right w:val="none" w:sz="0" w:space="0" w:color="auto"/>
          </w:divBdr>
        </w:div>
        <w:div w:id="862791982">
          <w:marLeft w:val="0"/>
          <w:marRight w:val="0"/>
          <w:marTop w:val="0"/>
          <w:marBottom w:val="0"/>
          <w:divBdr>
            <w:top w:val="none" w:sz="0" w:space="0" w:color="auto"/>
            <w:left w:val="none" w:sz="0" w:space="0" w:color="auto"/>
            <w:bottom w:val="none" w:sz="0" w:space="0" w:color="auto"/>
            <w:right w:val="none" w:sz="0" w:space="0" w:color="auto"/>
          </w:divBdr>
        </w:div>
        <w:div w:id="1663511304">
          <w:marLeft w:val="0"/>
          <w:marRight w:val="0"/>
          <w:marTop w:val="0"/>
          <w:marBottom w:val="0"/>
          <w:divBdr>
            <w:top w:val="none" w:sz="0" w:space="0" w:color="auto"/>
            <w:left w:val="none" w:sz="0" w:space="0" w:color="auto"/>
            <w:bottom w:val="none" w:sz="0" w:space="0" w:color="auto"/>
            <w:right w:val="none" w:sz="0" w:space="0" w:color="auto"/>
          </w:divBdr>
        </w:div>
        <w:div w:id="1542860606">
          <w:marLeft w:val="0"/>
          <w:marRight w:val="0"/>
          <w:marTop w:val="0"/>
          <w:marBottom w:val="0"/>
          <w:divBdr>
            <w:top w:val="none" w:sz="0" w:space="0" w:color="auto"/>
            <w:left w:val="none" w:sz="0" w:space="0" w:color="auto"/>
            <w:bottom w:val="none" w:sz="0" w:space="0" w:color="auto"/>
            <w:right w:val="none" w:sz="0" w:space="0" w:color="auto"/>
          </w:divBdr>
        </w:div>
        <w:div w:id="2104446110">
          <w:marLeft w:val="0"/>
          <w:marRight w:val="0"/>
          <w:marTop w:val="0"/>
          <w:marBottom w:val="0"/>
          <w:divBdr>
            <w:top w:val="none" w:sz="0" w:space="0" w:color="auto"/>
            <w:left w:val="none" w:sz="0" w:space="0" w:color="auto"/>
            <w:bottom w:val="none" w:sz="0" w:space="0" w:color="auto"/>
            <w:right w:val="none" w:sz="0" w:space="0" w:color="auto"/>
          </w:divBdr>
        </w:div>
        <w:div w:id="1687899957">
          <w:marLeft w:val="0"/>
          <w:marRight w:val="0"/>
          <w:marTop w:val="0"/>
          <w:marBottom w:val="0"/>
          <w:divBdr>
            <w:top w:val="none" w:sz="0" w:space="0" w:color="auto"/>
            <w:left w:val="none" w:sz="0" w:space="0" w:color="auto"/>
            <w:bottom w:val="none" w:sz="0" w:space="0" w:color="auto"/>
            <w:right w:val="none" w:sz="0" w:space="0" w:color="auto"/>
          </w:divBdr>
        </w:div>
        <w:div w:id="978538192">
          <w:marLeft w:val="0"/>
          <w:marRight w:val="0"/>
          <w:marTop w:val="0"/>
          <w:marBottom w:val="0"/>
          <w:divBdr>
            <w:top w:val="none" w:sz="0" w:space="0" w:color="auto"/>
            <w:left w:val="none" w:sz="0" w:space="0" w:color="auto"/>
            <w:bottom w:val="none" w:sz="0" w:space="0" w:color="auto"/>
            <w:right w:val="none" w:sz="0" w:space="0" w:color="auto"/>
          </w:divBdr>
        </w:div>
        <w:div w:id="335226951">
          <w:marLeft w:val="0"/>
          <w:marRight w:val="0"/>
          <w:marTop w:val="0"/>
          <w:marBottom w:val="0"/>
          <w:divBdr>
            <w:top w:val="none" w:sz="0" w:space="0" w:color="auto"/>
            <w:left w:val="none" w:sz="0" w:space="0" w:color="auto"/>
            <w:bottom w:val="none" w:sz="0" w:space="0" w:color="auto"/>
            <w:right w:val="none" w:sz="0" w:space="0" w:color="auto"/>
          </w:divBdr>
        </w:div>
        <w:div w:id="1288700141">
          <w:marLeft w:val="0"/>
          <w:marRight w:val="0"/>
          <w:marTop w:val="0"/>
          <w:marBottom w:val="0"/>
          <w:divBdr>
            <w:top w:val="none" w:sz="0" w:space="0" w:color="auto"/>
            <w:left w:val="none" w:sz="0" w:space="0" w:color="auto"/>
            <w:bottom w:val="none" w:sz="0" w:space="0" w:color="auto"/>
            <w:right w:val="none" w:sz="0" w:space="0" w:color="auto"/>
          </w:divBdr>
        </w:div>
        <w:div w:id="2141218184">
          <w:marLeft w:val="0"/>
          <w:marRight w:val="0"/>
          <w:marTop w:val="0"/>
          <w:marBottom w:val="0"/>
          <w:divBdr>
            <w:top w:val="none" w:sz="0" w:space="0" w:color="auto"/>
            <w:left w:val="none" w:sz="0" w:space="0" w:color="auto"/>
            <w:bottom w:val="none" w:sz="0" w:space="0" w:color="auto"/>
            <w:right w:val="none" w:sz="0" w:space="0" w:color="auto"/>
          </w:divBdr>
        </w:div>
        <w:div w:id="990718078">
          <w:marLeft w:val="0"/>
          <w:marRight w:val="0"/>
          <w:marTop w:val="0"/>
          <w:marBottom w:val="0"/>
          <w:divBdr>
            <w:top w:val="none" w:sz="0" w:space="0" w:color="auto"/>
            <w:left w:val="none" w:sz="0" w:space="0" w:color="auto"/>
            <w:bottom w:val="none" w:sz="0" w:space="0" w:color="auto"/>
            <w:right w:val="none" w:sz="0" w:space="0" w:color="auto"/>
          </w:divBdr>
        </w:div>
        <w:div w:id="2023890488">
          <w:marLeft w:val="0"/>
          <w:marRight w:val="0"/>
          <w:marTop w:val="0"/>
          <w:marBottom w:val="0"/>
          <w:divBdr>
            <w:top w:val="none" w:sz="0" w:space="0" w:color="auto"/>
            <w:left w:val="none" w:sz="0" w:space="0" w:color="auto"/>
            <w:bottom w:val="none" w:sz="0" w:space="0" w:color="auto"/>
            <w:right w:val="none" w:sz="0" w:space="0" w:color="auto"/>
          </w:divBdr>
        </w:div>
        <w:div w:id="1739867314">
          <w:marLeft w:val="0"/>
          <w:marRight w:val="0"/>
          <w:marTop w:val="0"/>
          <w:marBottom w:val="0"/>
          <w:divBdr>
            <w:top w:val="none" w:sz="0" w:space="0" w:color="auto"/>
            <w:left w:val="none" w:sz="0" w:space="0" w:color="auto"/>
            <w:bottom w:val="none" w:sz="0" w:space="0" w:color="auto"/>
            <w:right w:val="none" w:sz="0" w:space="0" w:color="auto"/>
          </w:divBdr>
        </w:div>
        <w:div w:id="207300177">
          <w:marLeft w:val="0"/>
          <w:marRight w:val="0"/>
          <w:marTop w:val="0"/>
          <w:marBottom w:val="0"/>
          <w:divBdr>
            <w:top w:val="none" w:sz="0" w:space="0" w:color="auto"/>
            <w:left w:val="none" w:sz="0" w:space="0" w:color="auto"/>
            <w:bottom w:val="none" w:sz="0" w:space="0" w:color="auto"/>
            <w:right w:val="none" w:sz="0" w:space="0" w:color="auto"/>
          </w:divBdr>
        </w:div>
        <w:div w:id="256711894">
          <w:marLeft w:val="0"/>
          <w:marRight w:val="0"/>
          <w:marTop w:val="0"/>
          <w:marBottom w:val="0"/>
          <w:divBdr>
            <w:top w:val="none" w:sz="0" w:space="0" w:color="auto"/>
            <w:left w:val="none" w:sz="0" w:space="0" w:color="auto"/>
            <w:bottom w:val="none" w:sz="0" w:space="0" w:color="auto"/>
            <w:right w:val="none" w:sz="0" w:space="0" w:color="auto"/>
          </w:divBdr>
        </w:div>
        <w:div w:id="1490753232">
          <w:marLeft w:val="0"/>
          <w:marRight w:val="0"/>
          <w:marTop w:val="0"/>
          <w:marBottom w:val="0"/>
          <w:divBdr>
            <w:top w:val="none" w:sz="0" w:space="0" w:color="auto"/>
            <w:left w:val="none" w:sz="0" w:space="0" w:color="auto"/>
            <w:bottom w:val="none" w:sz="0" w:space="0" w:color="auto"/>
            <w:right w:val="none" w:sz="0" w:space="0" w:color="auto"/>
          </w:divBdr>
        </w:div>
        <w:div w:id="1143544559">
          <w:marLeft w:val="0"/>
          <w:marRight w:val="0"/>
          <w:marTop w:val="0"/>
          <w:marBottom w:val="0"/>
          <w:divBdr>
            <w:top w:val="none" w:sz="0" w:space="0" w:color="auto"/>
            <w:left w:val="none" w:sz="0" w:space="0" w:color="auto"/>
            <w:bottom w:val="none" w:sz="0" w:space="0" w:color="auto"/>
            <w:right w:val="none" w:sz="0" w:space="0" w:color="auto"/>
          </w:divBdr>
        </w:div>
        <w:div w:id="1622684252">
          <w:marLeft w:val="0"/>
          <w:marRight w:val="0"/>
          <w:marTop w:val="0"/>
          <w:marBottom w:val="0"/>
          <w:divBdr>
            <w:top w:val="none" w:sz="0" w:space="0" w:color="auto"/>
            <w:left w:val="none" w:sz="0" w:space="0" w:color="auto"/>
            <w:bottom w:val="none" w:sz="0" w:space="0" w:color="auto"/>
            <w:right w:val="none" w:sz="0" w:space="0" w:color="auto"/>
          </w:divBdr>
        </w:div>
        <w:div w:id="370033809">
          <w:marLeft w:val="0"/>
          <w:marRight w:val="0"/>
          <w:marTop w:val="0"/>
          <w:marBottom w:val="0"/>
          <w:divBdr>
            <w:top w:val="none" w:sz="0" w:space="0" w:color="auto"/>
            <w:left w:val="none" w:sz="0" w:space="0" w:color="auto"/>
            <w:bottom w:val="none" w:sz="0" w:space="0" w:color="auto"/>
            <w:right w:val="none" w:sz="0" w:space="0" w:color="auto"/>
          </w:divBdr>
        </w:div>
        <w:div w:id="244800610">
          <w:marLeft w:val="0"/>
          <w:marRight w:val="0"/>
          <w:marTop w:val="0"/>
          <w:marBottom w:val="0"/>
          <w:divBdr>
            <w:top w:val="none" w:sz="0" w:space="0" w:color="auto"/>
            <w:left w:val="none" w:sz="0" w:space="0" w:color="auto"/>
            <w:bottom w:val="none" w:sz="0" w:space="0" w:color="auto"/>
            <w:right w:val="none" w:sz="0" w:space="0" w:color="auto"/>
          </w:divBdr>
        </w:div>
        <w:div w:id="1256212064">
          <w:marLeft w:val="0"/>
          <w:marRight w:val="0"/>
          <w:marTop w:val="0"/>
          <w:marBottom w:val="0"/>
          <w:divBdr>
            <w:top w:val="none" w:sz="0" w:space="0" w:color="auto"/>
            <w:left w:val="none" w:sz="0" w:space="0" w:color="auto"/>
            <w:bottom w:val="none" w:sz="0" w:space="0" w:color="auto"/>
            <w:right w:val="none" w:sz="0" w:space="0" w:color="auto"/>
          </w:divBdr>
        </w:div>
        <w:div w:id="1564757249">
          <w:marLeft w:val="0"/>
          <w:marRight w:val="0"/>
          <w:marTop w:val="0"/>
          <w:marBottom w:val="0"/>
          <w:divBdr>
            <w:top w:val="none" w:sz="0" w:space="0" w:color="auto"/>
            <w:left w:val="none" w:sz="0" w:space="0" w:color="auto"/>
            <w:bottom w:val="none" w:sz="0" w:space="0" w:color="auto"/>
            <w:right w:val="none" w:sz="0" w:space="0" w:color="auto"/>
          </w:divBdr>
        </w:div>
        <w:div w:id="1296982856">
          <w:marLeft w:val="0"/>
          <w:marRight w:val="0"/>
          <w:marTop w:val="0"/>
          <w:marBottom w:val="0"/>
          <w:divBdr>
            <w:top w:val="none" w:sz="0" w:space="0" w:color="auto"/>
            <w:left w:val="none" w:sz="0" w:space="0" w:color="auto"/>
            <w:bottom w:val="none" w:sz="0" w:space="0" w:color="auto"/>
            <w:right w:val="none" w:sz="0" w:space="0" w:color="auto"/>
          </w:divBdr>
        </w:div>
        <w:div w:id="1424376697">
          <w:marLeft w:val="0"/>
          <w:marRight w:val="0"/>
          <w:marTop w:val="0"/>
          <w:marBottom w:val="0"/>
          <w:divBdr>
            <w:top w:val="none" w:sz="0" w:space="0" w:color="auto"/>
            <w:left w:val="none" w:sz="0" w:space="0" w:color="auto"/>
            <w:bottom w:val="none" w:sz="0" w:space="0" w:color="auto"/>
            <w:right w:val="none" w:sz="0" w:space="0" w:color="auto"/>
          </w:divBdr>
        </w:div>
        <w:div w:id="452478515">
          <w:marLeft w:val="0"/>
          <w:marRight w:val="0"/>
          <w:marTop w:val="0"/>
          <w:marBottom w:val="0"/>
          <w:divBdr>
            <w:top w:val="none" w:sz="0" w:space="0" w:color="auto"/>
            <w:left w:val="none" w:sz="0" w:space="0" w:color="auto"/>
            <w:bottom w:val="none" w:sz="0" w:space="0" w:color="auto"/>
            <w:right w:val="none" w:sz="0" w:space="0" w:color="auto"/>
          </w:divBdr>
        </w:div>
        <w:div w:id="901019504">
          <w:marLeft w:val="0"/>
          <w:marRight w:val="0"/>
          <w:marTop w:val="0"/>
          <w:marBottom w:val="0"/>
          <w:divBdr>
            <w:top w:val="none" w:sz="0" w:space="0" w:color="auto"/>
            <w:left w:val="none" w:sz="0" w:space="0" w:color="auto"/>
            <w:bottom w:val="none" w:sz="0" w:space="0" w:color="auto"/>
            <w:right w:val="none" w:sz="0" w:space="0" w:color="auto"/>
          </w:divBdr>
        </w:div>
        <w:div w:id="1006715029">
          <w:marLeft w:val="0"/>
          <w:marRight w:val="0"/>
          <w:marTop w:val="0"/>
          <w:marBottom w:val="0"/>
          <w:divBdr>
            <w:top w:val="none" w:sz="0" w:space="0" w:color="auto"/>
            <w:left w:val="none" w:sz="0" w:space="0" w:color="auto"/>
            <w:bottom w:val="none" w:sz="0" w:space="0" w:color="auto"/>
            <w:right w:val="none" w:sz="0" w:space="0" w:color="auto"/>
          </w:divBdr>
        </w:div>
        <w:div w:id="568997962">
          <w:marLeft w:val="0"/>
          <w:marRight w:val="0"/>
          <w:marTop w:val="0"/>
          <w:marBottom w:val="0"/>
          <w:divBdr>
            <w:top w:val="none" w:sz="0" w:space="0" w:color="auto"/>
            <w:left w:val="none" w:sz="0" w:space="0" w:color="auto"/>
            <w:bottom w:val="none" w:sz="0" w:space="0" w:color="auto"/>
            <w:right w:val="none" w:sz="0" w:space="0" w:color="auto"/>
          </w:divBdr>
        </w:div>
        <w:div w:id="187720819">
          <w:marLeft w:val="0"/>
          <w:marRight w:val="0"/>
          <w:marTop w:val="0"/>
          <w:marBottom w:val="0"/>
          <w:divBdr>
            <w:top w:val="none" w:sz="0" w:space="0" w:color="auto"/>
            <w:left w:val="none" w:sz="0" w:space="0" w:color="auto"/>
            <w:bottom w:val="none" w:sz="0" w:space="0" w:color="auto"/>
            <w:right w:val="none" w:sz="0" w:space="0" w:color="auto"/>
          </w:divBdr>
        </w:div>
      </w:divsChild>
    </w:div>
    <w:div w:id="654722836">
      <w:bodyDiv w:val="1"/>
      <w:marLeft w:val="0"/>
      <w:marRight w:val="0"/>
      <w:marTop w:val="0"/>
      <w:marBottom w:val="0"/>
      <w:divBdr>
        <w:top w:val="none" w:sz="0" w:space="0" w:color="auto"/>
        <w:left w:val="none" w:sz="0" w:space="0" w:color="auto"/>
        <w:bottom w:val="none" w:sz="0" w:space="0" w:color="auto"/>
        <w:right w:val="none" w:sz="0" w:space="0" w:color="auto"/>
      </w:divBdr>
      <w:divsChild>
        <w:div w:id="587348509">
          <w:marLeft w:val="446"/>
          <w:marRight w:val="0"/>
          <w:marTop w:val="0"/>
          <w:marBottom w:val="0"/>
          <w:divBdr>
            <w:top w:val="none" w:sz="0" w:space="0" w:color="auto"/>
            <w:left w:val="none" w:sz="0" w:space="0" w:color="auto"/>
            <w:bottom w:val="none" w:sz="0" w:space="0" w:color="auto"/>
            <w:right w:val="none" w:sz="0" w:space="0" w:color="auto"/>
          </w:divBdr>
        </w:div>
        <w:div w:id="2044137687">
          <w:marLeft w:val="446"/>
          <w:marRight w:val="0"/>
          <w:marTop w:val="0"/>
          <w:marBottom w:val="0"/>
          <w:divBdr>
            <w:top w:val="none" w:sz="0" w:space="0" w:color="auto"/>
            <w:left w:val="none" w:sz="0" w:space="0" w:color="auto"/>
            <w:bottom w:val="none" w:sz="0" w:space="0" w:color="auto"/>
            <w:right w:val="none" w:sz="0" w:space="0" w:color="auto"/>
          </w:divBdr>
        </w:div>
        <w:div w:id="973409150">
          <w:marLeft w:val="446"/>
          <w:marRight w:val="0"/>
          <w:marTop w:val="0"/>
          <w:marBottom w:val="0"/>
          <w:divBdr>
            <w:top w:val="none" w:sz="0" w:space="0" w:color="auto"/>
            <w:left w:val="none" w:sz="0" w:space="0" w:color="auto"/>
            <w:bottom w:val="none" w:sz="0" w:space="0" w:color="auto"/>
            <w:right w:val="none" w:sz="0" w:space="0" w:color="auto"/>
          </w:divBdr>
        </w:div>
        <w:div w:id="1676105627">
          <w:marLeft w:val="446"/>
          <w:marRight w:val="0"/>
          <w:marTop w:val="0"/>
          <w:marBottom w:val="0"/>
          <w:divBdr>
            <w:top w:val="none" w:sz="0" w:space="0" w:color="auto"/>
            <w:left w:val="none" w:sz="0" w:space="0" w:color="auto"/>
            <w:bottom w:val="none" w:sz="0" w:space="0" w:color="auto"/>
            <w:right w:val="none" w:sz="0" w:space="0" w:color="auto"/>
          </w:divBdr>
        </w:div>
        <w:div w:id="553546986">
          <w:marLeft w:val="1166"/>
          <w:marRight w:val="0"/>
          <w:marTop w:val="0"/>
          <w:marBottom w:val="0"/>
          <w:divBdr>
            <w:top w:val="none" w:sz="0" w:space="0" w:color="auto"/>
            <w:left w:val="none" w:sz="0" w:space="0" w:color="auto"/>
            <w:bottom w:val="none" w:sz="0" w:space="0" w:color="auto"/>
            <w:right w:val="none" w:sz="0" w:space="0" w:color="auto"/>
          </w:divBdr>
        </w:div>
        <w:div w:id="883641002">
          <w:marLeft w:val="1166"/>
          <w:marRight w:val="0"/>
          <w:marTop w:val="0"/>
          <w:marBottom w:val="0"/>
          <w:divBdr>
            <w:top w:val="none" w:sz="0" w:space="0" w:color="auto"/>
            <w:left w:val="none" w:sz="0" w:space="0" w:color="auto"/>
            <w:bottom w:val="none" w:sz="0" w:space="0" w:color="auto"/>
            <w:right w:val="none" w:sz="0" w:space="0" w:color="auto"/>
          </w:divBdr>
        </w:div>
        <w:div w:id="1623733746">
          <w:marLeft w:val="1166"/>
          <w:marRight w:val="0"/>
          <w:marTop w:val="0"/>
          <w:marBottom w:val="0"/>
          <w:divBdr>
            <w:top w:val="none" w:sz="0" w:space="0" w:color="auto"/>
            <w:left w:val="none" w:sz="0" w:space="0" w:color="auto"/>
            <w:bottom w:val="none" w:sz="0" w:space="0" w:color="auto"/>
            <w:right w:val="none" w:sz="0" w:space="0" w:color="auto"/>
          </w:divBdr>
        </w:div>
        <w:div w:id="513959267">
          <w:marLeft w:val="1166"/>
          <w:marRight w:val="0"/>
          <w:marTop w:val="0"/>
          <w:marBottom w:val="0"/>
          <w:divBdr>
            <w:top w:val="none" w:sz="0" w:space="0" w:color="auto"/>
            <w:left w:val="none" w:sz="0" w:space="0" w:color="auto"/>
            <w:bottom w:val="none" w:sz="0" w:space="0" w:color="auto"/>
            <w:right w:val="none" w:sz="0" w:space="0" w:color="auto"/>
          </w:divBdr>
        </w:div>
      </w:divsChild>
    </w:div>
    <w:div w:id="661736431">
      <w:bodyDiv w:val="1"/>
      <w:marLeft w:val="0"/>
      <w:marRight w:val="0"/>
      <w:marTop w:val="0"/>
      <w:marBottom w:val="0"/>
      <w:divBdr>
        <w:top w:val="none" w:sz="0" w:space="0" w:color="auto"/>
        <w:left w:val="none" w:sz="0" w:space="0" w:color="auto"/>
        <w:bottom w:val="none" w:sz="0" w:space="0" w:color="auto"/>
        <w:right w:val="none" w:sz="0" w:space="0" w:color="auto"/>
      </w:divBdr>
    </w:div>
    <w:div w:id="723407871">
      <w:bodyDiv w:val="1"/>
      <w:marLeft w:val="0"/>
      <w:marRight w:val="0"/>
      <w:marTop w:val="0"/>
      <w:marBottom w:val="0"/>
      <w:divBdr>
        <w:top w:val="none" w:sz="0" w:space="0" w:color="auto"/>
        <w:left w:val="none" w:sz="0" w:space="0" w:color="auto"/>
        <w:bottom w:val="none" w:sz="0" w:space="0" w:color="auto"/>
        <w:right w:val="none" w:sz="0" w:space="0" w:color="auto"/>
      </w:divBdr>
    </w:div>
    <w:div w:id="900797457">
      <w:bodyDiv w:val="1"/>
      <w:marLeft w:val="0"/>
      <w:marRight w:val="0"/>
      <w:marTop w:val="0"/>
      <w:marBottom w:val="0"/>
      <w:divBdr>
        <w:top w:val="none" w:sz="0" w:space="0" w:color="auto"/>
        <w:left w:val="none" w:sz="0" w:space="0" w:color="auto"/>
        <w:bottom w:val="none" w:sz="0" w:space="0" w:color="auto"/>
        <w:right w:val="none" w:sz="0" w:space="0" w:color="auto"/>
      </w:divBdr>
      <w:divsChild>
        <w:div w:id="439372246">
          <w:marLeft w:val="547"/>
          <w:marRight w:val="0"/>
          <w:marTop w:val="0"/>
          <w:marBottom w:val="0"/>
          <w:divBdr>
            <w:top w:val="none" w:sz="0" w:space="0" w:color="auto"/>
            <w:left w:val="none" w:sz="0" w:space="0" w:color="auto"/>
            <w:bottom w:val="none" w:sz="0" w:space="0" w:color="auto"/>
            <w:right w:val="none" w:sz="0" w:space="0" w:color="auto"/>
          </w:divBdr>
        </w:div>
      </w:divsChild>
    </w:div>
    <w:div w:id="970596452">
      <w:bodyDiv w:val="1"/>
      <w:marLeft w:val="0"/>
      <w:marRight w:val="0"/>
      <w:marTop w:val="0"/>
      <w:marBottom w:val="0"/>
      <w:divBdr>
        <w:top w:val="none" w:sz="0" w:space="0" w:color="auto"/>
        <w:left w:val="none" w:sz="0" w:space="0" w:color="auto"/>
        <w:bottom w:val="none" w:sz="0" w:space="0" w:color="auto"/>
        <w:right w:val="none" w:sz="0" w:space="0" w:color="auto"/>
      </w:divBdr>
    </w:div>
    <w:div w:id="1052271484">
      <w:bodyDiv w:val="1"/>
      <w:marLeft w:val="0"/>
      <w:marRight w:val="0"/>
      <w:marTop w:val="0"/>
      <w:marBottom w:val="0"/>
      <w:divBdr>
        <w:top w:val="none" w:sz="0" w:space="0" w:color="auto"/>
        <w:left w:val="none" w:sz="0" w:space="0" w:color="auto"/>
        <w:bottom w:val="none" w:sz="0" w:space="0" w:color="auto"/>
        <w:right w:val="none" w:sz="0" w:space="0" w:color="auto"/>
      </w:divBdr>
      <w:divsChild>
        <w:div w:id="1722440225">
          <w:marLeft w:val="0"/>
          <w:marRight w:val="0"/>
          <w:marTop w:val="0"/>
          <w:marBottom w:val="0"/>
          <w:divBdr>
            <w:top w:val="none" w:sz="0" w:space="0" w:color="auto"/>
            <w:left w:val="none" w:sz="0" w:space="0" w:color="auto"/>
            <w:bottom w:val="none" w:sz="0" w:space="0" w:color="auto"/>
            <w:right w:val="none" w:sz="0" w:space="0" w:color="auto"/>
          </w:divBdr>
        </w:div>
        <w:div w:id="1435780052">
          <w:marLeft w:val="0"/>
          <w:marRight w:val="0"/>
          <w:marTop w:val="0"/>
          <w:marBottom w:val="0"/>
          <w:divBdr>
            <w:top w:val="none" w:sz="0" w:space="0" w:color="auto"/>
            <w:left w:val="none" w:sz="0" w:space="0" w:color="auto"/>
            <w:bottom w:val="none" w:sz="0" w:space="0" w:color="auto"/>
            <w:right w:val="none" w:sz="0" w:space="0" w:color="auto"/>
          </w:divBdr>
        </w:div>
      </w:divsChild>
    </w:div>
    <w:div w:id="1146046801">
      <w:bodyDiv w:val="1"/>
      <w:marLeft w:val="0"/>
      <w:marRight w:val="0"/>
      <w:marTop w:val="0"/>
      <w:marBottom w:val="0"/>
      <w:divBdr>
        <w:top w:val="none" w:sz="0" w:space="0" w:color="auto"/>
        <w:left w:val="none" w:sz="0" w:space="0" w:color="auto"/>
        <w:bottom w:val="none" w:sz="0" w:space="0" w:color="auto"/>
        <w:right w:val="none" w:sz="0" w:space="0" w:color="auto"/>
      </w:divBdr>
      <w:divsChild>
        <w:div w:id="1994332517">
          <w:marLeft w:val="0"/>
          <w:marRight w:val="0"/>
          <w:marTop w:val="0"/>
          <w:marBottom w:val="0"/>
          <w:divBdr>
            <w:top w:val="none" w:sz="0" w:space="0" w:color="auto"/>
            <w:left w:val="none" w:sz="0" w:space="0" w:color="auto"/>
            <w:bottom w:val="none" w:sz="0" w:space="0" w:color="auto"/>
            <w:right w:val="none" w:sz="0" w:space="0" w:color="auto"/>
          </w:divBdr>
        </w:div>
        <w:div w:id="1049646895">
          <w:marLeft w:val="0"/>
          <w:marRight w:val="0"/>
          <w:marTop w:val="0"/>
          <w:marBottom w:val="0"/>
          <w:divBdr>
            <w:top w:val="none" w:sz="0" w:space="0" w:color="auto"/>
            <w:left w:val="none" w:sz="0" w:space="0" w:color="auto"/>
            <w:bottom w:val="none" w:sz="0" w:space="0" w:color="auto"/>
            <w:right w:val="none" w:sz="0" w:space="0" w:color="auto"/>
          </w:divBdr>
        </w:div>
      </w:divsChild>
    </w:div>
    <w:div w:id="1153762549">
      <w:bodyDiv w:val="1"/>
      <w:marLeft w:val="0"/>
      <w:marRight w:val="0"/>
      <w:marTop w:val="0"/>
      <w:marBottom w:val="0"/>
      <w:divBdr>
        <w:top w:val="none" w:sz="0" w:space="0" w:color="auto"/>
        <w:left w:val="none" w:sz="0" w:space="0" w:color="auto"/>
        <w:bottom w:val="none" w:sz="0" w:space="0" w:color="auto"/>
        <w:right w:val="none" w:sz="0" w:space="0" w:color="auto"/>
      </w:divBdr>
      <w:divsChild>
        <w:div w:id="1393768924">
          <w:marLeft w:val="0"/>
          <w:marRight w:val="0"/>
          <w:marTop w:val="0"/>
          <w:marBottom w:val="0"/>
          <w:divBdr>
            <w:top w:val="none" w:sz="0" w:space="0" w:color="auto"/>
            <w:left w:val="none" w:sz="0" w:space="0" w:color="auto"/>
            <w:bottom w:val="none" w:sz="0" w:space="0" w:color="auto"/>
            <w:right w:val="none" w:sz="0" w:space="0" w:color="auto"/>
          </w:divBdr>
        </w:div>
        <w:div w:id="1005665746">
          <w:marLeft w:val="0"/>
          <w:marRight w:val="0"/>
          <w:marTop w:val="0"/>
          <w:marBottom w:val="0"/>
          <w:divBdr>
            <w:top w:val="none" w:sz="0" w:space="0" w:color="auto"/>
            <w:left w:val="none" w:sz="0" w:space="0" w:color="auto"/>
            <w:bottom w:val="none" w:sz="0" w:space="0" w:color="auto"/>
            <w:right w:val="none" w:sz="0" w:space="0" w:color="auto"/>
          </w:divBdr>
        </w:div>
        <w:div w:id="886064897">
          <w:marLeft w:val="0"/>
          <w:marRight w:val="0"/>
          <w:marTop w:val="0"/>
          <w:marBottom w:val="0"/>
          <w:divBdr>
            <w:top w:val="none" w:sz="0" w:space="0" w:color="auto"/>
            <w:left w:val="none" w:sz="0" w:space="0" w:color="auto"/>
            <w:bottom w:val="none" w:sz="0" w:space="0" w:color="auto"/>
            <w:right w:val="none" w:sz="0" w:space="0" w:color="auto"/>
          </w:divBdr>
        </w:div>
        <w:div w:id="339238735">
          <w:marLeft w:val="0"/>
          <w:marRight w:val="0"/>
          <w:marTop w:val="0"/>
          <w:marBottom w:val="0"/>
          <w:divBdr>
            <w:top w:val="none" w:sz="0" w:space="0" w:color="auto"/>
            <w:left w:val="none" w:sz="0" w:space="0" w:color="auto"/>
            <w:bottom w:val="none" w:sz="0" w:space="0" w:color="auto"/>
            <w:right w:val="none" w:sz="0" w:space="0" w:color="auto"/>
          </w:divBdr>
        </w:div>
        <w:div w:id="96563336">
          <w:marLeft w:val="0"/>
          <w:marRight w:val="0"/>
          <w:marTop w:val="0"/>
          <w:marBottom w:val="0"/>
          <w:divBdr>
            <w:top w:val="none" w:sz="0" w:space="0" w:color="auto"/>
            <w:left w:val="none" w:sz="0" w:space="0" w:color="auto"/>
            <w:bottom w:val="none" w:sz="0" w:space="0" w:color="auto"/>
            <w:right w:val="none" w:sz="0" w:space="0" w:color="auto"/>
          </w:divBdr>
        </w:div>
      </w:divsChild>
    </w:div>
    <w:div w:id="1306466848">
      <w:bodyDiv w:val="1"/>
      <w:marLeft w:val="0"/>
      <w:marRight w:val="0"/>
      <w:marTop w:val="0"/>
      <w:marBottom w:val="0"/>
      <w:divBdr>
        <w:top w:val="none" w:sz="0" w:space="0" w:color="auto"/>
        <w:left w:val="none" w:sz="0" w:space="0" w:color="auto"/>
        <w:bottom w:val="none" w:sz="0" w:space="0" w:color="auto"/>
        <w:right w:val="none" w:sz="0" w:space="0" w:color="auto"/>
      </w:divBdr>
      <w:divsChild>
        <w:div w:id="14599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983651">
              <w:marLeft w:val="0"/>
              <w:marRight w:val="0"/>
              <w:marTop w:val="0"/>
              <w:marBottom w:val="0"/>
              <w:divBdr>
                <w:top w:val="none" w:sz="0" w:space="0" w:color="auto"/>
                <w:left w:val="none" w:sz="0" w:space="0" w:color="auto"/>
                <w:bottom w:val="none" w:sz="0" w:space="0" w:color="auto"/>
                <w:right w:val="none" w:sz="0" w:space="0" w:color="auto"/>
              </w:divBdr>
              <w:divsChild>
                <w:div w:id="15817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4303">
      <w:bodyDiv w:val="1"/>
      <w:marLeft w:val="0"/>
      <w:marRight w:val="0"/>
      <w:marTop w:val="0"/>
      <w:marBottom w:val="0"/>
      <w:divBdr>
        <w:top w:val="none" w:sz="0" w:space="0" w:color="auto"/>
        <w:left w:val="none" w:sz="0" w:space="0" w:color="auto"/>
        <w:bottom w:val="none" w:sz="0" w:space="0" w:color="auto"/>
        <w:right w:val="none" w:sz="0" w:space="0" w:color="auto"/>
      </w:divBdr>
      <w:divsChild>
        <w:div w:id="1642540567">
          <w:marLeft w:val="547"/>
          <w:marRight w:val="0"/>
          <w:marTop w:val="0"/>
          <w:marBottom w:val="0"/>
          <w:divBdr>
            <w:top w:val="none" w:sz="0" w:space="0" w:color="auto"/>
            <w:left w:val="none" w:sz="0" w:space="0" w:color="auto"/>
            <w:bottom w:val="none" w:sz="0" w:space="0" w:color="auto"/>
            <w:right w:val="none" w:sz="0" w:space="0" w:color="auto"/>
          </w:divBdr>
        </w:div>
      </w:divsChild>
    </w:div>
    <w:div w:id="1422726092">
      <w:bodyDiv w:val="1"/>
      <w:marLeft w:val="0"/>
      <w:marRight w:val="0"/>
      <w:marTop w:val="0"/>
      <w:marBottom w:val="0"/>
      <w:divBdr>
        <w:top w:val="none" w:sz="0" w:space="0" w:color="auto"/>
        <w:left w:val="none" w:sz="0" w:space="0" w:color="auto"/>
        <w:bottom w:val="none" w:sz="0" w:space="0" w:color="auto"/>
        <w:right w:val="none" w:sz="0" w:space="0" w:color="auto"/>
      </w:divBdr>
      <w:divsChild>
        <w:div w:id="296112666">
          <w:marLeft w:val="0"/>
          <w:marRight w:val="0"/>
          <w:marTop w:val="0"/>
          <w:marBottom w:val="0"/>
          <w:divBdr>
            <w:top w:val="none" w:sz="0" w:space="0" w:color="auto"/>
            <w:left w:val="none" w:sz="0" w:space="0" w:color="auto"/>
            <w:bottom w:val="none" w:sz="0" w:space="0" w:color="auto"/>
            <w:right w:val="none" w:sz="0" w:space="0" w:color="auto"/>
          </w:divBdr>
        </w:div>
        <w:div w:id="1230310166">
          <w:marLeft w:val="0"/>
          <w:marRight w:val="0"/>
          <w:marTop w:val="0"/>
          <w:marBottom w:val="0"/>
          <w:divBdr>
            <w:top w:val="none" w:sz="0" w:space="0" w:color="auto"/>
            <w:left w:val="none" w:sz="0" w:space="0" w:color="auto"/>
            <w:bottom w:val="none" w:sz="0" w:space="0" w:color="auto"/>
            <w:right w:val="none" w:sz="0" w:space="0" w:color="auto"/>
          </w:divBdr>
        </w:div>
        <w:div w:id="1556090079">
          <w:marLeft w:val="0"/>
          <w:marRight w:val="0"/>
          <w:marTop w:val="0"/>
          <w:marBottom w:val="0"/>
          <w:divBdr>
            <w:top w:val="none" w:sz="0" w:space="0" w:color="auto"/>
            <w:left w:val="none" w:sz="0" w:space="0" w:color="auto"/>
            <w:bottom w:val="none" w:sz="0" w:space="0" w:color="auto"/>
            <w:right w:val="none" w:sz="0" w:space="0" w:color="auto"/>
          </w:divBdr>
        </w:div>
        <w:div w:id="1322200581">
          <w:marLeft w:val="0"/>
          <w:marRight w:val="0"/>
          <w:marTop w:val="0"/>
          <w:marBottom w:val="0"/>
          <w:divBdr>
            <w:top w:val="none" w:sz="0" w:space="0" w:color="auto"/>
            <w:left w:val="none" w:sz="0" w:space="0" w:color="auto"/>
            <w:bottom w:val="none" w:sz="0" w:space="0" w:color="auto"/>
            <w:right w:val="none" w:sz="0" w:space="0" w:color="auto"/>
          </w:divBdr>
        </w:div>
        <w:div w:id="224873582">
          <w:marLeft w:val="0"/>
          <w:marRight w:val="0"/>
          <w:marTop w:val="0"/>
          <w:marBottom w:val="0"/>
          <w:divBdr>
            <w:top w:val="none" w:sz="0" w:space="0" w:color="auto"/>
            <w:left w:val="none" w:sz="0" w:space="0" w:color="auto"/>
            <w:bottom w:val="none" w:sz="0" w:space="0" w:color="auto"/>
            <w:right w:val="none" w:sz="0" w:space="0" w:color="auto"/>
          </w:divBdr>
        </w:div>
        <w:div w:id="1044061174">
          <w:marLeft w:val="0"/>
          <w:marRight w:val="0"/>
          <w:marTop w:val="0"/>
          <w:marBottom w:val="0"/>
          <w:divBdr>
            <w:top w:val="none" w:sz="0" w:space="0" w:color="auto"/>
            <w:left w:val="none" w:sz="0" w:space="0" w:color="auto"/>
            <w:bottom w:val="none" w:sz="0" w:space="0" w:color="auto"/>
            <w:right w:val="none" w:sz="0" w:space="0" w:color="auto"/>
          </w:divBdr>
        </w:div>
        <w:div w:id="1090783141">
          <w:marLeft w:val="0"/>
          <w:marRight w:val="0"/>
          <w:marTop w:val="0"/>
          <w:marBottom w:val="0"/>
          <w:divBdr>
            <w:top w:val="none" w:sz="0" w:space="0" w:color="auto"/>
            <w:left w:val="none" w:sz="0" w:space="0" w:color="auto"/>
            <w:bottom w:val="none" w:sz="0" w:space="0" w:color="auto"/>
            <w:right w:val="none" w:sz="0" w:space="0" w:color="auto"/>
          </w:divBdr>
        </w:div>
      </w:divsChild>
    </w:div>
    <w:div w:id="1436443127">
      <w:bodyDiv w:val="1"/>
      <w:marLeft w:val="0"/>
      <w:marRight w:val="0"/>
      <w:marTop w:val="0"/>
      <w:marBottom w:val="0"/>
      <w:divBdr>
        <w:top w:val="none" w:sz="0" w:space="0" w:color="auto"/>
        <w:left w:val="none" w:sz="0" w:space="0" w:color="auto"/>
        <w:bottom w:val="none" w:sz="0" w:space="0" w:color="auto"/>
        <w:right w:val="none" w:sz="0" w:space="0" w:color="auto"/>
      </w:divBdr>
      <w:divsChild>
        <w:div w:id="494421997">
          <w:marLeft w:val="0"/>
          <w:marRight w:val="0"/>
          <w:marTop w:val="0"/>
          <w:marBottom w:val="0"/>
          <w:divBdr>
            <w:top w:val="none" w:sz="0" w:space="0" w:color="auto"/>
            <w:left w:val="none" w:sz="0" w:space="0" w:color="auto"/>
            <w:bottom w:val="none" w:sz="0" w:space="0" w:color="auto"/>
            <w:right w:val="none" w:sz="0" w:space="0" w:color="auto"/>
          </w:divBdr>
        </w:div>
        <w:div w:id="1813717897">
          <w:marLeft w:val="0"/>
          <w:marRight w:val="0"/>
          <w:marTop w:val="0"/>
          <w:marBottom w:val="0"/>
          <w:divBdr>
            <w:top w:val="none" w:sz="0" w:space="0" w:color="auto"/>
            <w:left w:val="none" w:sz="0" w:space="0" w:color="auto"/>
            <w:bottom w:val="none" w:sz="0" w:space="0" w:color="auto"/>
            <w:right w:val="none" w:sz="0" w:space="0" w:color="auto"/>
          </w:divBdr>
        </w:div>
        <w:div w:id="1332757215">
          <w:marLeft w:val="0"/>
          <w:marRight w:val="0"/>
          <w:marTop w:val="0"/>
          <w:marBottom w:val="0"/>
          <w:divBdr>
            <w:top w:val="none" w:sz="0" w:space="0" w:color="auto"/>
            <w:left w:val="none" w:sz="0" w:space="0" w:color="auto"/>
            <w:bottom w:val="none" w:sz="0" w:space="0" w:color="auto"/>
            <w:right w:val="none" w:sz="0" w:space="0" w:color="auto"/>
          </w:divBdr>
        </w:div>
        <w:div w:id="2034457976">
          <w:marLeft w:val="0"/>
          <w:marRight w:val="0"/>
          <w:marTop w:val="0"/>
          <w:marBottom w:val="0"/>
          <w:divBdr>
            <w:top w:val="none" w:sz="0" w:space="0" w:color="auto"/>
            <w:left w:val="none" w:sz="0" w:space="0" w:color="auto"/>
            <w:bottom w:val="none" w:sz="0" w:space="0" w:color="auto"/>
            <w:right w:val="none" w:sz="0" w:space="0" w:color="auto"/>
          </w:divBdr>
        </w:div>
        <w:div w:id="1477720597">
          <w:marLeft w:val="0"/>
          <w:marRight w:val="0"/>
          <w:marTop w:val="0"/>
          <w:marBottom w:val="0"/>
          <w:divBdr>
            <w:top w:val="none" w:sz="0" w:space="0" w:color="auto"/>
            <w:left w:val="none" w:sz="0" w:space="0" w:color="auto"/>
            <w:bottom w:val="none" w:sz="0" w:space="0" w:color="auto"/>
            <w:right w:val="none" w:sz="0" w:space="0" w:color="auto"/>
          </w:divBdr>
        </w:div>
      </w:divsChild>
    </w:div>
    <w:div w:id="1546916279">
      <w:bodyDiv w:val="1"/>
      <w:marLeft w:val="0"/>
      <w:marRight w:val="0"/>
      <w:marTop w:val="0"/>
      <w:marBottom w:val="0"/>
      <w:divBdr>
        <w:top w:val="none" w:sz="0" w:space="0" w:color="auto"/>
        <w:left w:val="none" w:sz="0" w:space="0" w:color="auto"/>
        <w:bottom w:val="none" w:sz="0" w:space="0" w:color="auto"/>
        <w:right w:val="none" w:sz="0" w:space="0" w:color="auto"/>
      </w:divBdr>
      <w:divsChild>
        <w:div w:id="1884321251">
          <w:marLeft w:val="0"/>
          <w:marRight w:val="0"/>
          <w:marTop w:val="0"/>
          <w:marBottom w:val="0"/>
          <w:divBdr>
            <w:top w:val="none" w:sz="0" w:space="0" w:color="auto"/>
            <w:left w:val="none" w:sz="0" w:space="0" w:color="auto"/>
            <w:bottom w:val="none" w:sz="0" w:space="0" w:color="auto"/>
            <w:right w:val="none" w:sz="0" w:space="0" w:color="auto"/>
          </w:divBdr>
        </w:div>
        <w:div w:id="615717012">
          <w:marLeft w:val="0"/>
          <w:marRight w:val="0"/>
          <w:marTop w:val="0"/>
          <w:marBottom w:val="0"/>
          <w:divBdr>
            <w:top w:val="none" w:sz="0" w:space="0" w:color="auto"/>
            <w:left w:val="none" w:sz="0" w:space="0" w:color="auto"/>
            <w:bottom w:val="none" w:sz="0" w:space="0" w:color="auto"/>
            <w:right w:val="none" w:sz="0" w:space="0" w:color="auto"/>
          </w:divBdr>
        </w:div>
        <w:div w:id="1877890919">
          <w:marLeft w:val="0"/>
          <w:marRight w:val="0"/>
          <w:marTop w:val="0"/>
          <w:marBottom w:val="0"/>
          <w:divBdr>
            <w:top w:val="none" w:sz="0" w:space="0" w:color="auto"/>
            <w:left w:val="none" w:sz="0" w:space="0" w:color="auto"/>
            <w:bottom w:val="none" w:sz="0" w:space="0" w:color="auto"/>
            <w:right w:val="none" w:sz="0" w:space="0" w:color="auto"/>
          </w:divBdr>
        </w:div>
        <w:div w:id="555318999">
          <w:marLeft w:val="0"/>
          <w:marRight w:val="0"/>
          <w:marTop w:val="0"/>
          <w:marBottom w:val="0"/>
          <w:divBdr>
            <w:top w:val="none" w:sz="0" w:space="0" w:color="auto"/>
            <w:left w:val="none" w:sz="0" w:space="0" w:color="auto"/>
            <w:bottom w:val="none" w:sz="0" w:space="0" w:color="auto"/>
            <w:right w:val="none" w:sz="0" w:space="0" w:color="auto"/>
          </w:divBdr>
        </w:div>
        <w:div w:id="721369050">
          <w:marLeft w:val="0"/>
          <w:marRight w:val="0"/>
          <w:marTop w:val="0"/>
          <w:marBottom w:val="0"/>
          <w:divBdr>
            <w:top w:val="none" w:sz="0" w:space="0" w:color="auto"/>
            <w:left w:val="none" w:sz="0" w:space="0" w:color="auto"/>
            <w:bottom w:val="none" w:sz="0" w:space="0" w:color="auto"/>
            <w:right w:val="none" w:sz="0" w:space="0" w:color="auto"/>
          </w:divBdr>
        </w:div>
        <w:div w:id="1329792793">
          <w:marLeft w:val="0"/>
          <w:marRight w:val="0"/>
          <w:marTop w:val="0"/>
          <w:marBottom w:val="0"/>
          <w:divBdr>
            <w:top w:val="none" w:sz="0" w:space="0" w:color="auto"/>
            <w:left w:val="none" w:sz="0" w:space="0" w:color="auto"/>
            <w:bottom w:val="none" w:sz="0" w:space="0" w:color="auto"/>
            <w:right w:val="none" w:sz="0" w:space="0" w:color="auto"/>
          </w:divBdr>
        </w:div>
        <w:div w:id="1545604564">
          <w:marLeft w:val="0"/>
          <w:marRight w:val="0"/>
          <w:marTop w:val="0"/>
          <w:marBottom w:val="0"/>
          <w:divBdr>
            <w:top w:val="none" w:sz="0" w:space="0" w:color="auto"/>
            <w:left w:val="none" w:sz="0" w:space="0" w:color="auto"/>
            <w:bottom w:val="none" w:sz="0" w:space="0" w:color="auto"/>
            <w:right w:val="none" w:sz="0" w:space="0" w:color="auto"/>
          </w:divBdr>
        </w:div>
        <w:div w:id="402339410">
          <w:marLeft w:val="0"/>
          <w:marRight w:val="0"/>
          <w:marTop w:val="0"/>
          <w:marBottom w:val="0"/>
          <w:divBdr>
            <w:top w:val="none" w:sz="0" w:space="0" w:color="auto"/>
            <w:left w:val="none" w:sz="0" w:space="0" w:color="auto"/>
            <w:bottom w:val="none" w:sz="0" w:space="0" w:color="auto"/>
            <w:right w:val="none" w:sz="0" w:space="0" w:color="auto"/>
          </w:divBdr>
        </w:div>
        <w:div w:id="1864320891">
          <w:marLeft w:val="0"/>
          <w:marRight w:val="0"/>
          <w:marTop w:val="0"/>
          <w:marBottom w:val="0"/>
          <w:divBdr>
            <w:top w:val="none" w:sz="0" w:space="0" w:color="auto"/>
            <w:left w:val="none" w:sz="0" w:space="0" w:color="auto"/>
            <w:bottom w:val="none" w:sz="0" w:space="0" w:color="auto"/>
            <w:right w:val="none" w:sz="0" w:space="0" w:color="auto"/>
          </w:divBdr>
        </w:div>
        <w:div w:id="1720863007">
          <w:marLeft w:val="0"/>
          <w:marRight w:val="0"/>
          <w:marTop w:val="0"/>
          <w:marBottom w:val="0"/>
          <w:divBdr>
            <w:top w:val="none" w:sz="0" w:space="0" w:color="auto"/>
            <w:left w:val="none" w:sz="0" w:space="0" w:color="auto"/>
            <w:bottom w:val="none" w:sz="0" w:space="0" w:color="auto"/>
            <w:right w:val="none" w:sz="0" w:space="0" w:color="auto"/>
          </w:divBdr>
        </w:div>
        <w:div w:id="1087189366">
          <w:marLeft w:val="0"/>
          <w:marRight w:val="0"/>
          <w:marTop w:val="0"/>
          <w:marBottom w:val="0"/>
          <w:divBdr>
            <w:top w:val="none" w:sz="0" w:space="0" w:color="auto"/>
            <w:left w:val="none" w:sz="0" w:space="0" w:color="auto"/>
            <w:bottom w:val="none" w:sz="0" w:space="0" w:color="auto"/>
            <w:right w:val="none" w:sz="0" w:space="0" w:color="auto"/>
          </w:divBdr>
        </w:div>
        <w:div w:id="88819243">
          <w:marLeft w:val="0"/>
          <w:marRight w:val="0"/>
          <w:marTop w:val="0"/>
          <w:marBottom w:val="0"/>
          <w:divBdr>
            <w:top w:val="none" w:sz="0" w:space="0" w:color="auto"/>
            <w:left w:val="none" w:sz="0" w:space="0" w:color="auto"/>
            <w:bottom w:val="none" w:sz="0" w:space="0" w:color="auto"/>
            <w:right w:val="none" w:sz="0" w:space="0" w:color="auto"/>
          </w:divBdr>
        </w:div>
        <w:div w:id="235408301">
          <w:marLeft w:val="0"/>
          <w:marRight w:val="0"/>
          <w:marTop w:val="0"/>
          <w:marBottom w:val="0"/>
          <w:divBdr>
            <w:top w:val="none" w:sz="0" w:space="0" w:color="auto"/>
            <w:left w:val="none" w:sz="0" w:space="0" w:color="auto"/>
            <w:bottom w:val="none" w:sz="0" w:space="0" w:color="auto"/>
            <w:right w:val="none" w:sz="0" w:space="0" w:color="auto"/>
          </w:divBdr>
        </w:div>
        <w:div w:id="143472433">
          <w:marLeft w:val="0"/>
          <w:marRight w:val="0"/>
          <w:marTop w:val="0"/>
          <w:marBottom w:val="0"/>
          <w:divBdr>
            <w:top w:val="none" w:sz="0" w:space="0" w:color="auto"/>
            <w:left w:val="none" w:sz="0" w:space="0" w:color="auto"/>
            <w:bottom w:val="none" w:sz="0" w:space="0" w:color="auto"/>
            <w:right w:val="none" w:sz="0" w:space="0" w:color="auto"/>
          </w:divBdr>
        </w:div>
        <w:div w:id="1627849736">
          <w:marLeft w:val="0"/>
          <w:marRight w:val="0"/>
          <w:marTop w:val="0"/>
          <w:marBottom w:val="0"/>
          <w:divBdr>
            <w:top w:val="none" w:sz="0" w:space="0" w:color="auto"/>
            <w:left w:val="none" w:sz="0" w:space="0" w:color="auto"/>
            <w:bottom w:val="none" w:sz="0" w:space="0" w:color="auto"/>
            <w:right w:val="none" w:sz="0" w:space="0" w:color="auto"/>
          </w:divBdr>
        </w:div>
        <w:div w:id="714701249">
          <w:marLeft w:val="0"/>
          <w:marRight w:val="0"/>
          <w:marTop w:val="0"/>
          <w:marBottom w:val="0"/>
          <w:divBdr>
            <w:top w:val="none" w:sz="0" w:space="0" w:color="auto"/>
            <w:left w:val="none" w:sz="0" w:space="0" w:color="auto"/>
            <w:bottom w:val="none" w:sz="0" w:space="0" w:color="auto"/>
            <w:right w:val="none" w:sz="0" w:space="0" w:color="auto"/>
          </w:divBdr>
        </w:div>
        <w:div w:id="221909043">
          <w:marLeft w:val="0"/>
          <w:marRight w:val="0"/>
          <w:marTop w:val="0"/>
          <w:marBottom w:val="0"/>
          <w:divBdr>
            <w:top w:val="none" w:sz="0" w:space="0" w:color="auto"/>
            <w:left w:val="none" w:sz="0" w:space="0" w:color="auto"/>
            <w:bottom w:val="none" w:sz="0" w:space="0" w:color="auto"/>
            <w:right w:val="none" w:sz="0" w:space="0" w:color="auto"/>
          </w:divBdr>
        </w:div>
        <w:div w:id="1905026974">
          <w:marLeft w:val="0"/>
          <w:marRight w:val="0"/>
          <w:marTop w:val="0"/>
          <w:marBottom w:val="0"/>
          <w:divBdr>
            <w:top w:val="none" w:sz="0" w:space="0" w:color="auto"/>
            <w:left w:val="none" w:sz="0" w:space="0" w:color="auto"/>
            <w:bottom w:val="none" w:sz="0" w:space="0" w:color="auto"/>
            <w:right w:val="none" w:sz="0" w:space="0" w:color="auto"/>
          </w:divBdr>
        </w:div>
        <w:div w:id="1087535341">
          <w:marLeft w:val="0"/>
          <w:marRight w:val="0"/>
          <w:marTop w:val="0"/>
          <w:marBottom w:val="0"/>
          <w:divBdr>
            <w:top w:val="none" w:sz="0" w:space="0" w:color="auto"/>
            <w:left w:val="none" w:sz="0" w:space="0" w:color="auto"/>
            <w:bottom w:val="none" w:sz="0" w:space="0" w:color="auto"/>
            <w:right w:val="none" w:sz="0" w:space="0" w:color="auto"/>
          </w:divBdr>
        </w:div>
        <w:div w:id="1465659359">
          <w:marLeft w:val="0"/>
          <w:marRight w:val="0"/>
          <w:marTop w:val="0"/>
          <w:marBottom w:val="0"/>
          <w:divBdr>
            <w:top w:val="none" w:sz="0" w:space="0" w:color="auto"/>
            <w:left w:val="none" w:sz="0" w:space="0" w:color="auto"/>
            <w:bottom w:val="none" w:sz="0" w:space="0" w:color="auto"/>
            <w:right w:val="none" w:sz="0" w:space="0" w:color="auto"/>
          </w:divBdr>
        </w:div>
        <w:div w:id="181283863">
          <w:marLeft w:val="0"/>
          <w:marRight w:val="0"/>
          <w:marTop w:val="0"/>
          <w:marBottom w:val="0"/>
          <w:divBdr>
            <w:top w:val="none" w:sz="0" w:space="0" w:color="auto"/>
            <w:left w:val="none" w:sz="0" w:space="0" w:color="auto"/>
            <w:bottom w:val="none" w:sz="0" w:space="0" w:color="auto"/>
            <w:right w:val="none" w:sz="0" w:space="0" w:color="auto"/>
          </w:divBdr>
        </w:div>
        <w:div w:id="2074698392">
          <w:marLeft w:val="0"/>
          <w:marRight w:val="0"/>
          <w:marTop w:val="0"/>
          <w:marBottom w:val="0"/>
          <w:divBdr>
            <w:top w:val="none" w:sz="0" w:space="0" w:color="auto"/>
            <w:left w:val="none" w:sz="0" w:space="0" w:color="auto"/>
            <w:bottom w:val="none" w:sz="0" w:space="0" w:color="auto"/>
            <w:right w:val="none" w:sz="0" w:space="0" w:color="auto"/>
          </w:divBdr>
        </w:div>
        <w:div w:id="2023310702">
          <w:marLeft w:val="0"/>
          <w:marRight w:val="0"/>
          <w:marTop w:val="0"/>
          <w:marBottom w:val="0"/>
          <w:divBdr>
            <w:top w:val="none" w:sz="0" w:space="0" w:color="auto"/>
            <w:left w:val="none" w:sz="0" w:space="0" w:color="auto"/>
            <w:bottom w:val="none" w:sz="0" w:space="0" w:color="auto"/>
            <w:right w:val="none" w:sz="0" w:space="0" w:color="auto"/>
          </w:divBdr>
        </w:div>
        <w:div w:id="441530683">
          <w:marLeft w:val="0"/>
          <w:marRight w:val="0"/>
          <w:marTop w:val="0"/>
          <w:marBottom w:val="0"/>
          <w:divBdr>
            <w:top w:val="none" w:sz="0" w:space="0" w:color="auto"/>
            <w:left w:val="none" w:sz="0" w:space="0" w:color="auto"/>
            <w:bottom w:val="none" w:sz="0" w:space="0" w:color="auto"/>
            <w:right w:val="none" w:sz="0" w:space="0" w:color="auto"/>
          </w:divBdr>
        </w:div>
        <w:div w:id="378364499">
          <w:marLeft w:val="0"/>
          <w:marRight w:val="0"/>
          <w:marTop w:val="0"/>
          <w:marBottom w:val="0"/>
          <w:divBdr>
            <w:top w:val="none" w:sz="0" w:space="0" w:color="auto"/>
            <w:left w:val="none" w:sz="0" w:space="0" w:color="auto"/>
            <w:bottom w:val="none" w:sz="0" w:space="0" w:color="auto"/>
            <w:right w:val="none" w:sz="0" w:space="0" w:color="auto"/>
          </w:divBdr>
        </w:div>
        <w:div w:id="1107194133">
          <w:marLeft w:val="0"/>
          <w:marRight w:val="0"/>
          <w:marTop w:val="0"/>
          <w:marBottom w:val="0"/>
          <w:divBdr>
            <w:top w:val="none" w:sz="0" w:space="0" w:color="auto"/>
            <w:left w:val="none" w:sz="0" w:space="0" w:color="auto"/>
            <w:bottom w:val="none" w:sz="0" w:space="0" w:color="auto"/>
            <w:right w:val="none" w:sz="0" w:space="0" w:color="auto"/>
          </w:divBdr>
        </w:div>
        <w:div w:id="1749575416">
          <w:marLeft w:val="0"/>
          <w:marRight w:val="0"/>
          <w:marTop w:val="0"/>
          <w:marBottom w:val="0"/>
          <w:divBdr>
            <w:top w:val="none" w:sz="0" w:space="0" w:color="auto"/>
            <w:left w:val="none" w:sz="0" w:space="0" w:color="auto"/>
            <w:bottom w:val="none" w:sz="0" w:space="0" w:color="auto"/>
            <w:right w:val="none" w:sz="0" w:space="0" w:color="auto"/>
          </w:divBdr>
        </w:div>
      </w:divsChild>
    </w:div>
    <w:div w:id="1570729096">
      <w:bodyDiv w:val="1"/>
      <w:marLeft w:val="0"/>
      <w:marRight w:val="0"/>
      <w:marTop w:val="0"/>
      <w:marBottom w:val="0"/>
      <w:divBdr>
        <w:top w:val="none" w:sz="0" w:space="0" w:color="auto"/>
        <w:left w:val="none" w:sz="0" w:space="0" w:color="auto"/>
        <w:bottom w:val="none" w:sz="0" w:space="0" w:color="auto"/>
        <w:right w:val="none" w:sz="0" w:space="0" w:color="auto"/>
      </w:divBdr>
      <w:divsChild>
        <w:div w:id="1714229051">
          <w:marLeft w:val="720"/>
          <w:marRight w:val="0"/>
          <w:marTop w:val="0"/>
          <w:marBottom w:val="0"/>
          <w:divBdr>
            <w:top w:val="none" w:sz="0" w:space="0" w:color="auto"/>
            <w:left w:val="none" w:sz="0" w:space="0" w:color="auto"/>
            <w:bottom w:val="none" w:sz="0" w:space="0" w:color="auto"/>
            <w:right w:val="none" w:sz="0" w:space="0" w:color="auto"/>
          </w:divBdr>
        </w:div>
        <w:div w:id="98066613">
          <w:marLeft w:val="1440"/>
          <w:marRight w:val="0"/>
          <w:marTop w:val="0"/>
          <w:marBottom w:val="0"/>
          <w:divBdr>
            <w:top w:val="none" w:sz="0" w:space="0" w:color="auto"/>
            <w:left w:val="none" w:sz="0" w:space="0" w:color="auto"/>
            <w:bottom w:val="none" w:sz="0" w:space="0" w:color="auto"/>
            <w:right w:val="none" w:sz="0" w:space="0" w:color="auto"/>
          </w:divBdr>
        </w:div>
        <w:div w:id="1528643643">
          <w:marLeft w:val="1440"/>
          <w:marRight w:val="0"/>
          <w:marTop w:val="0"/>
          <w:marBottom w:val="0"/>
          <w:divBdr>
            <w:top w:val="none" w:sz="0" w:space="0" w:color="auto"/>
            <w:left w:val="none" w:sz="0" w:space="0" w:color="auto"/>
            <w:bottom w:val="none" w:sz="0" w:space="0" w:color="auto"/>
            <w:right w:val="none" w:sz="0" w:space="0" w:color="auto"/>
          </w:divBdr>
        </w:div>
        <w:div w:id="106000454">
          <w:marLeft w:val="1440"/>
          <w:marRight w:val="0"/>
          <w:marTop w:val="0"/>
          <w:marBottom w:val="0"/>
          <w:divBdr>
            <w:top w:val="none" w:sz="0" w:space="0" w:color="auto"/>
            <w:left w:val="none" w:sz="0" w:space="0" w:color="auto"/>
            <w:bottom w:val="none" w:sz="0" w:space="0" w:color="auto"/>
            <w:right w:val="none" w:sz="0" w:space="0" w:color="auto"/>
          </w:divBdr>
        </w:div>
        <w:div w:id="1260017936">
          <w:marLeft w:val="720"/>
          <w:marRight w:val="0"/>
          <w:marTop w:val="0"/>
          <w:marBottom w:val="0"/>
          <w:divBdr>
            <w:top w:val="none" w:sz="0" w:space="0" w:color="auto"/>
            <w:left w:val="none" w:sz="0" w:space="0" w:color="auto"/>
            <w:bottom w:val="none" w:sz="0" w:space="0" w:color="auto"/>
            <w:right w:val="none" w:sz="0" w:space="0" w:color="auto"/>
          </w:divBdr>
        </w:div>
      </w:divsChild>
    </w:div>
    <w:div w:id="1582906783">
      <w:bodyDiv w:val="1"/>
      <w:marLeft w:val="0"/>
      <w:marRight w:val="0"/>
      <w:marTop w:val="0"/>
      <w:marBottom w:val="0"/>
      <w:divBdr>
        <w:top w:val="none" w:sz="0" w:space="0" w:color="auto"/>
        <w:left w:val="none" w:sz="0" w:space="0" w:color="auto"/>
        <w:bottom w:val="none" w:sz="0" w:space="0" w:color="auto"/>
        <w:right w:val="none" w:sz="0" w:space="0" w:color="auto"/>
      </w:divBdr>
      <w:divsChild>
        <w:div w:id="1504397744">
          <w:marLeft w:val="0"/>
          <w:marRight w:val="0"/>
          <w:marTop w:val="0"/>
          <w:marBottom w:val="0"/>
          <w:divBdr>
            <w:top w:val="none" w:sz="0" w:space="0" w:color="auto"/>
            <w:left w:val="none" w:sz="0" w:space="0" w:color="auto"/>
            <w:bottom w:val="none" w:sz="0" w:space="0" w:color="auto"/>
            <w:right w:val="none" w:sz="0" w:space="0" w:color="auto"/>
          </w:divBdr>
        </w:div>
        <w:div w:id="46421410">
          <w:marLeft w:val="0"/>
          <w:marRight w:val="0"/>
          <w:marTop w:val="0"/>
          <w:marBottom w:val="0"/>
          <w:divBdr>
            <w:top w:val="none" w:sz="0" w:space="0" w:color="auto"/>
            <w:left w:val="none" w:sz="0" w:space="0" w:color="auto"/>
            <w:bottom w:val="none" w:sz="0" w:space="0" w:color="auto"/>
            <w:right w:val="none" w:sz="0" w:space="0" w:color="auto"/>
          </w:divBdr>
        </w:div>
        <w:div w:id="1317684219">
          <w:marLeft w:val="0"/>
          <w:marRight w:val="0"/>
          <w:marTop w:val="0"/>
          <w:marBottom w:val="0"/>
          <w:divBdr>
            <w:top w:val="none" w:sz="0" w:space="0" w:color="auto"/>
            <w:left w:val="none" w:sz="0" w:space="0" w:color="auto"/>
            <w:bottom w:val="none" w:sz="0" w:space="0" w:color="auto"/>
            <w:right w:val="none" w:sz="0" w:space="0" w:color="auto"/>
          </w:divBdr>
        </w:div>
        <w:div w:id="533660795">
          <w:marLeft w:val="0"/>
          <w:marRight w:val="0"/>
          <w:marTop w:val="0"/>
          <w:marBottom w:val="0"/>
          <w:divBdr>
            <w:top w:val="none" w:sz="0" w:space="0" w:color="auto"/>
            <w:left w:val="none" w:sz="0" w:space="0" w:color="auto"/>
            <w:bottom w:val="none" w:sz="0" w:space="0" w:color="auto"/>
            <w:right w:val="none" w:sz="0" w:space="0" w:color="auto"/>
          </w:divBdr>
        </w:div>
        <w:div w:id="1929002061">
          <w:marLeft w:val="0"/>
          <w:marRight w:val="0"/>
          <w:marTop w:val="0"/>
          <w:marBottom w:val="0"/>
          <w:divBdr>
            <w:top w:val="none" w:sz="0" w:space="0" w:color="auto"/>
            <w:left w:val="none" w:sz="0" w:space="0" w:color="auto"/>
            <w:bottom w:val="none" w:sz="0" w:space="0" w:color="auto"/>
            <w:right w:val="none" w:sz="0" w:space="0" w:color="auto"/>
          </w:divBdr>
        </w:div>
        <w:div w:id="1802964835">
          <w:marLeft w:val="0"/>
          <w:marRight w:val="0"/>
          <w:marTop w:val="0"/>
          <w:marBottom w:val="0"/>
          <w:divBdr>
            <w:top w:val="none" w:sz="0" w:space="0" w:color="auto"/>
            <w:left w:val="none" w:sz="0" w:space="0" w:color="auto"/>
            <w:bottom w:val="none" w:sz="0" w:space="0" w:color="auto"/>
            <w:right w:val="none" w:sz="0" w:space="0" w:color="auto"/>
          </w:divBdr>
        </w:div>
        <w:div w:id="1240401919">
          <w:marLeft w:val="0"/>
          <w:marRight w:val="0"/>
          <w:marTop w:val="0"/>
          <w:marBottom w:val="0"/>
          <w:divBdr>
            <w:top w:val="none" w:sz="0" w:space="0" w:color="auto"/>
            <w:left w:val="none" w:sz="0" w:space="0" w:color="auto"/>
            <w:bottom w:val="none" w:sz="0" w:space="0" w:color="auto"/>
            <w:right w:val="none" w:sz="0" w:space="0" w:color="auto"/>
          </w:divBdr>
        </w:div>
      </w:divsChild>
    </w:div>
    <w:div w:id="1588266677">
      <w:bodyDiv w:val="1"/>
      <w:marLeft w:val="0"/>
      <w:marRight w:val="0"/>
      <w:marTop w:val="0"/>
      <w:marBottom w:val="0"/>
      <w:divBdr>
        <w:top w:val="none" w:sz="0" w:space="0" w:color="auto"/>
        <w:left w:val="none" w:sz="0" w:space="0" w:color="auto"/>
        <w:bottom w:val="none" w:sz="0" w:space="0" w:color="auto"/>
        <w:right w:val="none" w:sz="0" w:space="0" w:color="auto"/>
      </w:divBdr>
      <w:divsChild>
        <w:div w:id="1399209660">
          <w:marLeft w:val="0"/>
          <w:marRight w:val="0"/>
          <w:marTop w:val="0"/>
          <w:marBottom w:val="300"/>
          <w:divBdr>
            <w:top w:val="none" w:sz="0" w:space="0" w:color="auto"/>
            <w:left w:val="none" w:sz="0" w:space="0" w:color="auto"/>
            <w:bottom w:val="none" w:sz="0" w:space="0" w:color="auto"/>
            <w:right w:val="none" w:sz="0" w:space="0" w:color="auto"/>
          </w:divBdr>
          <w:divsChild>
            <w:div w:id="1817723170">
              <w:marLeft w:val="0"/>
              <w:marRight w:val="0"/>
              <w:marTop w:val="0"/>
              <w:marBottom w:val="0"/>
              <w:divBdr>
                <w:top w:val="none" w:sz="0" w:space="0" w:color="auto"/>
                <w:left w:val="none" w:sz="0" w:space="0" w:color="auto"/>
                <w:bottom w:val="none" w:sz="0" w:space="0" w:color="auto"/>
                <w:right w:val="none" w:sz="0" w:space="0" w:color="auto"/>
              </w:divBdr>
              <w:divsChild>
                <w:div w:id="1029838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75722422">
      <w:bodyDiv w:val="1"/>
      <w:marLeft w:val="0"/>
      <w:marRight w:val="0"/>
      <w:marTop w:val="0"/>
      <w:marBottom w:val="0"/>
      <w:divBdr>
        <w:top w:val="none" w:sz="0" w:space="0" w:color="auto"/>
        <w:left w:val="none" w:sz="0" w:space="0" w:color="auto"/>
        <w:bottom w:val="none" w:sz="0" w:space="0" w:color="auto"/>
        <w:right w:val="none" w:sz="0" w:space="0" w:color="auto"/>
      </w:divBdr>
      <w:divsChild>
        <w:div w:id="407727885">
          <w:marLeft w:val="0"/>
          <w:marRight w:val="0"/>
          <w:marTop w:val="0"/>
          <w:marBottom w:val="0"/>
          <w:divBdr>
            <w:top w:val="none" w:sz="0" w:space="0" w:color="auto"/>
            <w:left w:val="none" w:sz="0" w:space="0" w:color="auto"/>
            <w:bottom w:val="none" w:sz="0" w:space="0" w:color="auto"/>
            <w:right w:val="none" w:sz="0" w:space="0" w:color="auto"/>
          </w:divBdr>
          <w:divsChild>
            <w:div w:id="101148099">
              <w:marLeft w:val="0"/>
              <w:marRight w:val="0"/>
              <w:marTop w:val="0"/>
              <w:marBottom w:val="0"/>
              <w:divBdr>
                <w:top w:val="none" w:sz="0" w:space="0" w:color="auto"/>
                <w:left w:val="none" w:sz="0" w:space="0" w:color="auto"/>
                <w:bottom w:val="none" w:sz="0" w:space="0" w:color="auto"/>
                <w:right w:val="none" w:sz="0" w:space="0" w:color="auto"/>
              </w:divBdr>
              <w:divsChild>
                <w:div w:id="18736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6513">
      <w:bodyDiv w:val="1"/>
      <w:marLeft w:val="0"/>
      <w:marRight w:val="0"/>
      <w:marTop w:val="0"/>
      <w:marBottom w:val="0"/>
      <w:divBdr>
        <w:top w:val="none" w:sz="0" w:space="0" w:color="auto"/>
        <w:left w:val="none" w:sz="0" w:space="0" w:color="auto"/>
        <w:bottom w:val="none" w:sz="0" w:space="0" w:color="auto"/>
        <w:right w:val="none" w:sz="0" w:space="0" w:color="auto"/>
      </w:divBdr>
    </w:div>
    <w:div w:id="1744448704">
      <w:bodyDiv w:val="1"/>
      <w:marLeft w:val="0"/>
      <w:marRight w:val="0"/>
      <w:marTop w:val="0"/>
      <w:marBottom w:val="0"/>
      <w:divBdr>
        <w:top w:val="none" w:sz="0" w:space="0" w:color="auto"/>
        <w:left w:val="none" w:sz="0" w:space="0" w:color="auto"/>
        <w:bottom w:val="none" w:sz="0" w:space="0" w:color="auto"/>
        <w:right w:val="none" w:sz="0" w:space="0" w:color="auto"/>
      </w:divBdr>
      <w:divsChild>
        <w:div w:id="927881088">
          <w:marLeft w:val="547"/>
          <w:marRight w:val="0"/>
          <w:marTop w:val="0"/>
          <w:marBottom w:val="0"/>
          <w:divBdr>
            <w:top w:val="none" w:sz="0" w:space="0" w:color="auto"/>
            <w:left w:val="none" w:sz="0" w:space="0" w:color="auto"/>
            <w:bottom w:val="none" w:sz="0" w:space="0" w:color="auto"/>
            <w:right w:val="none" w:sz="0" w:space="0" w:color="auto"/>
          </w:divBdr>
        </w:div>
      </w:divsChild>
    </w:div>
    <w:div w:id="1801418564">
      <w:bodyDiv w:val="1"/>
      <w:marLeft w:val="0"/>
      <w:marRight w:val="0"/>
      <w:marTop w:val="0"/>
      <w:marBottom w:val="0"/>
      <w:divBdr>
        <w:top w:val="none" w:sz="0" w:space="0" w:color="auto"/>
        <w:left w:val="none" w:sz="0" w:space="0" w:color="auto"/>
        <w:bottom w:val="none" w:sz="0" w:space="0" w:color="auto"/>
        <w:right w:val="none" w:sz="0" w:space="0" w:color="auto"/>
      </w:divBdr>
      <w:divsChild>
        <w:div w:id="1274246778">
          <w:marLeft w:val="0"/>
          <w:marRight w:val="0"/>
          <w:marTop w:val="0"/>
          <w:marBottom w:val="0"/>
          <w:divBdr>
            <w:top w:val="none" w:sz="0" w:space="0" w:color="auto"/>
            <w:left w:val="none" w:sz="0" w:space="0" w:color="auto"/>
            <w:bottom w:val="none" w:sz="0" w:space="0" w:color="auto"/>
            <w:right w:val="none" w:sz="0" w:space="0" w:color="auto"/>
          </w:divBdr>
        </w:div>
        <w:div w:id="1392920945">
          <w:marLeft w:val="0"/>
          <w:marRight w:val="0"/>
          <w:marTop w:val="0"/>
          <w:marBottom w:val="0"/>
          <w:divBdr>
            <w:top w:val="none" w:sz="0" w:space="0" w:color="auto"/>
            <w:left w:val="none" w:sz="0" w:space="0" w:color="auto"/>
            <w:bottom w:val="none" w:sz="0" w:space="0" w:color="auto"/>
            <w:right w:val="none" w:sz="0" w:space="0" w:color="auto"/>
          </w:divBdr>
        </w:div>
        <w:div w:id="154343031">
          <w:marLeft w:val="0"/>
          <w:marRight w:val="0"/>
          <w:marTop w:val="0"/>
          <w:marBottom w:val="0"/>
          <w:divBdr>
            <w:top w:val="none" w:sz="0" w:space="0" w:color="auto"/>
            <w:left w:val="none" w:sz="0" w:space="0" w:color="auto"/>
            <w:bottom w:val="none" w:sz="0" w:space="0" w:color="auto"/>
            <w:right w:val="none" w:sz="0" w:space="0" w:color="auto"/>
          </w:divBdr>
        </w:div>
        <w:div w:id="1471823285">
          <w:marLeft w:val="0"/>
          <w:marRight w:val="0"/>
          <w:marTop w:val="0"/>
          <w:marBottom w:val="0"/>
          <w:divBdr>
            <w:top w:val="none" w:sz="0" w:space="0" w:color="auto"/>
            <w:left w:val="none" w:sz="0" w:space="0" w:color="auto"/>
            <w:bottom w:val="none" w:sz="0" w:space="0" w:color="auto"/>
            <w:right w:val="none" w:sz="0" w:space="0" w:color="auto"/>
          </w:divBdr>
        </w:div>
        <w:div w:id="1726752206">
          <w:marLeft w:val="0"/>
          <w:marRight w:val="0"/>
          <w:marTop w:val="0"/>
          <w:marBottom w:val="0"/>
          <w:divBdr>
            <w:top w:val="none" w:sz="0" w:space="0" w:color="auto"/>
            <w:left w:val="none" w:sz="0" w:space="0" w:color="auto"/>
            <w:bottom w:val="none" w:sz="0" w:space="0" w:color="auto"/>
            <w:right w:val="none" w:sz="0" w:space="0" w:color="auto"/>
          </w:divBdr>
        </w:div>
        <w:div w:id="1791901323">
          <w:marLeft w:val="0"/>
          <w:marRight w:val="0"/>
          <w:marTop w:val="0"/>
          <w:marBottom w:val="0"/>
          <w:divBdr>
            <w:top w:val="none" w:sz="0" w:space="0" w:color="auto"/>
            <w:left w:val="none" w:sz="0" w:space="0" w:color="auto"/>
            <w:bottom w:val="none" w:sz="0" w:space="0" w:color="auto"/>
            <w:right w:val="none" w:sz="0" w:space="0" w:color="auto"/>
          </w:divBdr>
        </w:div>
      </w:divsChild>
    </w:div>
    <w:div w:id="1802961299">
      <w:bodyDiv w:val="1"/>
      <w:marLeft w:val="0"/>
      <w:marRight w:val="0"/>
      <w:marTop w:val="0"/>
      <w:marBottom w:val="0"/>
      <w:divBdr>
        <w:top w:val="none" w:sz="0" w:space="0" w:color="auto"/>
        <w:left w:val="none" w:sz="0" w:space="0" w:color="auto"/>
        <w:bottom w:val="none" w:sz="0" w:space="0" w:color="auto"/>
        <w:right w:val="none" w:sz="0" w:space="0" w:color="auto"/>
      </w:divBdr>
    </w:div>
    <w:div w:id="1814831345">
      <w:bodyDiv w:val="1"/>
      <w:marLeft w:val="0"/>
      <w:marRight w:val="0"/>
      <w:marTop w:val="0"/>
      <w:marBottom w:val="0"/>
      <w:divBdr>
        <w:top w:val="none" w:sz="0" w:space="0" w:color="auto"/>
        <w:left w:val="none" w:sz="0" w:space="0" w:color="auto"/>
        <w:bottom w:val="none" w:sz="0" w:space="0" w:color="auto"/>
        <w:right w:val="none" w:sz="0" w:space="0" w:color="auto"/>
      </w:divBdr>
      <w:divsChild>
        <w:div w:id="351222183">
          <w:marLeft w:val="0"/>
          <w:marRight w:val="0"/>
          <w:marTop w:val="0"/>
          <w:marBottom w:val="0"/>
          <w:divBdr>
            <w:top w:val="none" w:sz="0" w:space="0" w:color="auto"/>
            <w:left w:val="none" w:sz="0" w:space="0" w:color="auto"/>
            <w:bottom w:val="none" w:sz="0" w:space="0" w:color="auto"/>
            <w:right w:val="none" w:sz="0" w:space="0" w:color="auto"/>
          </w:divBdr>
        </w:div>
        <w:div w:id="1106538310">
          <w:marLeft w:val="0"/>
          <w:marRight w:val="0"/>
          <w:marTop w:val="0"/>
          <w:marBottom w:val="0"/>
          <w:divBdr>
            <w:top w:val="none" w:sz="0" w:space="0" w:color="auto"/>
            <w:left w:val="none" w:sz="0" w:space="0" w:color="auto"/>
            <w:bottom w:val="none" w:sz="0" w:space="0" w:color="auto"/>
            <w:right w:val="none" w:sz="0" w:space="0" w:color="auto"/>
          </w:divBdr>
        </w:div>
      </w:divsChild>
    </w:div>
    <w:div w:id="1827552401">
      <w:bodyDiv w:val="1"/>
      <w:marLeft w:val="0"/>
      <w:marRight w:val="0"/>
      <w:marTop w:val="0"/>
      <w:marBottom w:val="0"/>
      <w:divBdr>
        <w:top w:val="none" w:sz="0" w:space="0" w:color="auto"/>
        <w:left w:val="none" w:sz="0" w:space="0" w:color="auto"/>
        <w:bottom w:val="none" w:sz="0" w:space="0" w:color="auto"/>
        <w:right w:val="none" w:sz="0" w:space="0" w:color="auto"/>
      </w:divBdr>
      <w:divsChild>
        <w:div w:id="1737435635">
          <w:marLeft w:val="0"/>
          <w:marRight w:val="0"/>
          <w:marTop w:val="0"/>
          <w:marBottom w:val="0"/>
          <w:divBdr>
            <w:top w:val="none" w:sz="0" w:space="0" w:color="auto"/>
            <w:left w:val="none" w:sz="0" w:space="0" w:color="auto"/>
            <w:bottom w:val="none" w:sz="0" w:space="0" w:color="auto"/>
            <w:right w:val="none" w:sz="0" w:space="0" w:color="auto"/>
          </w:divBdr>
        </w:div>
        <w:div w:id="1470241026">
          <w:marLeft w:val="0"/>
          <w:marRight w:val="0"/>
          <w:marTop w:val="0"/>
          <w:marBottom w:val="0"/>
          <w:divBdr>
            <w:top w:val="none" w:sz="0" w:space="0" w:color="auto"/>
            <w:left w:val="none" w:sz="0" w:space="0" w:color="auto"/>
            <w:bottom w:val="none" w:sz="0" w:space="0" w:color="auto"/>
            <w:right w:val="none" w:sz="0" w:space="0" w:color="auto"/>
          </w:divBdr>
        </w:div>
      </w:divsChild>
    </w:div>
    <w:div w:id="1889412229">
      <w:bodyDiv w:val="1"/>
      <w:marLeft w:val="0"/>
      <w:marRight w:val="0"/>
      <w:marTop w:val="0"/>
      <w:marBottom w:val="0"/>
      <w:divBdr>
        <w:top w:val="none" w:sz="0" w:space="0" w:color="auto"/>
        <w:left w:val="none" w:sz="0" w:space="0" w:color="auto"/>
        <w:bottom w:val="none" w:sz="0" w:space="0" w:color="auto"/>
        <w:right w:val="none" w:sz="0" w:space="0" w:color="auto"/>
      </w:divBdr>
      <w:divsChild>
        <w:div w:id="210775771">
          <w:marLeft w:val="0"/>
          <w:marRight w:val="0"/>
          <w:marTop w:val="0"/>
          <w:marBottom w:val="0"/>
          <w:divBdr>
            <w:top w:val="none" w:sz="0" w:space="0" w:color="auto"/>
            <w:left w:val="none" w:sz="0" w:space="0" w:color="auto"/>
            <w:bottom w:val="none" w:sz="0" w:space="0" w:color="auto"/>
            <w:right w:val="none" w:sz="0" w:space="0" w:color="auto"/>
          </w:divBdr>
        </w:div>
        <w:div w:id="704016671">
          <w:marLeft w:val="0"/>
          <w:marRight w:val="0"/>
          <w:marTop w:val="0"/>
          <w:marBottom w:val="0"/>
          <w:divBdr>
            <w:top w:val="none" w:sz="0" w:space="0" w:color="auto"/>
            <w:left w:val="none" w:sz="0" w:space="0" w:color="auto"/>
            <w:bottom w:val="none" w:sz="0" w:space="0" w:color="auto"/>
            <w:right w:val="none" w:sz="0" w:space="0" w:color="auto"/>
          </w:divBdr>
        </w:div>
        <w:div w:id="1395659340">
          <w:marLeft w:val="0"/>
          <w:marRight w:val="0"/>
          <w:marTop w:val="0"/>
          <w:marBottom w:val="0"/>
          <w:divBdr>
            <w:top w:val="none" w:sz="0" w:space="0" w:color="auto"/>
            <w:left w:val="none" w:sz="0" w:space="0" w:color="auto"/>
            <w:bottom w:val="none" w:sz="0" w:space="0" w:color="auto"/>
            <w:right w:val="none" w:sz="0" w:space="0" w:color="auto"/>
          </w:divBdr>
        </w:div>
        <w:div w:id="35938243">
          <w:marLeft w:val="0"/>
          <w:marRight w:val="0"/>
          <w:marTop w:val="0"/>
          <w:marBottom w:val="0"/>
          <w:divBdr>
            <w:top w:val="none" w:sz="0" w:space="0" w:color="auto"/>
            <w:left w:val="none" w:sz="0" w:space="0" w:color="auto"/>
            <w:bottom w:val="none" w:sz="0" w:space="0" w:color="auto"/>
            <w:right w:val="none" w:sz="0" w:space="0" w:color="auto"/>
          </w:divBdr>
        </w:div>
        <w:div w:id="1606310213">
          <w:marLeft w:val="0"/>
          <w:marRight w:val="0"/>
          <w:marTop w:val="0"/>
          <w:marBottom w:val="0"/>
          <w:divBdr>
            <w:top w:val="none" w:sz="0" w:space="0" w:color="auto"/>
            <w:left w:val="none" w:sz="0" w:space="0" w:color="auto"/>
            <w:bottom w:val="none" w:sz="0" w:space="0" w:color="auto"/>
            <w:right w:val="none" w:sz="0" w:space="0" w:color="auto"/>
          </w:divBdr>
        </w:div>
        <w:div w:id="1189370737">
          <w:marLeft w:val="0"/>
          <w:marRight w:val="0"/>
          <w:marTop w:val="0"/>
          <w:marBottom w:val="0"/>
          <w:divBdr>
            <w:top w:val="none" w:sz="0" w:space="0" w:color="auto"/>
            <w:left w:val="none" w:sz="0" w:space="0" w:color="auto"/>
            <w:bottom w:val="none" w:sz="0" w:space="0" w:color="auto"/>
            <w:right w:val="none" w:sz="0" w:space="0" w:color="auto"/>
          </w:divBdr>
        </w:div>
        <w:div w:id="543828028">
          <w:marLeft w:val="0"/>
          <w:marRight w:val="0"/>
          <w:marTop w:val="0"/>
          <w:marBottom w:val="0"/>
          <w:divBdr>
            <w:top w:val="none" w:sz="0" w:space="0" w:color="auto"/>
            <w:left w:val="none" w:sz="0" w:space="0" w:color="auto"/>
            <w:bottom w:val="none" w:sz="0" w:space="0" w:color="auto"/>
            <w:right w:val="none" w:sz="0" w:space="0" w:color="auto"/>
          </w:divBdr>
        </w:div>
        <w:div w:id="595676222">
          <w:marLeft w:val="0"/>
          <w:marRight w:val="0"/>
          <w:marTop w:val="0"/>
          <w:marBottom w:val="0"/>
          <w:divBdr>
            <w:top w:val="none" w:sz="0" w:space="0" w:color="auto"/>
            <w:left w:val="none" w:sz="0" w:space="0" w:color="auto"/>
            <w:bottom w:val="none" w:sz="0" w:space="0" w:color="auto"/>
            <w:right w:val="none" w:sz="0" w:space="0" w:color="auto"/>
          </w:divBdr>
        </w:div>
        <w:div w:id="30690067">
          <w:marLeft w:val="0"/>
          <w:marRight w:val="0"/>
          <w:marTop w:val="0"/>
          <w:marBottom w:val="0"/>
          <w:divBdr>
            <w:top w:val="none" w:sz="0" w:space="0" w:color="auto"/>
            <w:left w:val="none" w:sz="0" w:space="0" w:color="auto"/>
            <w:bottom w:val="none" w:sz="0" w:space="0" w:color="auto"/>
            <w:right w:val="none" w:sz="0" w:space="0" w:color="auto"/>
          </w:divBdr>
        </w:div>
        <w:div w:id="1043362222">
          <w:marLeft w:val="0"/>
          <w:marRight w:val="0"/>
          <w:marTop w:val="0"/>
          <w:marBottom w:val="0"/>
          <w:divBdr>
            <w:top w:val="none" w:sz="0" w:space="0" w:color="auto"/>
            <w:left w:val="none" w:sz="0" w:space="0" w:color="auto"/>
            <w:bottom w:val="none" w:sz="0" w:space="0" w:color="auto"/>
            <w:right w:val="none" w:sz="0" w:space="0" w:color="auto"/>
          </w:divBdr>
        </w:div>
        <w:div w:id="1371878665">
          <w:marLeft w:val="0"/>
          <w:marRight w:val="0"/>
          <w:marTop w:val="0"/>
          <w:marBottom w:val="0"/>
          <w:divBdr>
            <w:top w:val="none" w:sz="0" w:space="0" w:color="auto"/>
            <w:left w:val="none" w:sz="0" w:space="0" w:color="auto"/>
            <w:bottom w:val="none" w:sz="0" w:space="0" w:color="auto"/>
            <w:right w:val="none" w:sz="0" w:space="0" w:color="auto"/>
          </w:divBdr>
        </w:div>
        <w:div w:id="752972837">
          <w:marLeft w:val="0"/>
          <w:marRight w:val="0"/>
          <w:marTop w:val="0"/>
          <w:marBottom w:val="0"/>
          <w:divBdr>
            <w:top w:val="none" w:sz="0" w:space="0" w:color="auto"/>
            <w:left w:val="none" w:sz="0" w:space="0" w:color="auto"/>
            <w:bottom w:val="none" w:sz="0" w:space="0" w:color="auto"/>
            <w:right w:val="none" w:sz="0" w:space="0" w:color="auto"/>
          </w:divBdr>
        </w:div>
        <w:div w:id="1528443617">
          <w:marLeft w:val="0"/>
          <w:marRight w:val="0"/>
          <w:marTop w:val="0"/>
          <w:marBottom w:val="0"/>
          <w:divBdr>
            <w:top w:val="none" w:sz="0" w:space="0" w:color="auto"/>
            <w:left w:val="none" w:sz="0" w:space="0" w:color="auto"/>
            <w:bottom w:val="none" w:sz="0" w:space="0" w:color="auto"/>
            <w:right w:val="none" w:sz="0" w:space="0" w:color="auto"/>
          </w:divBdr>
        </w:div>
        <w:div w:id="1748570897">
          <w:marLeft w:val="0"/>
          <w:marRight w:val="0"/>
          <w:marTop w:val="0"/>
          <w:marBottom w:val="0"/>
          <w:divBdr>
            <w:top w:val="none" w:sz="0" w:space="0" w:color="auto"/>
            <w:left w:val="none" w:sz="0" w:space="0" w:color="auto"/>
            <w:bottom w:val="none" w:sz="0" w:space="0" w:color="auto"/>
            <w:right w:val="none" w:sz="0" w:space="0" w:color="auto"/>
          </w:divBdr>
        </w:div>
        <w:div w:id="2015843105">
          <w:marLeft w:val="0"/>
          <w:marRight w:val="0"/>
          <w:marTop w:val="0"/>
          <w:marBottom w:val="0"/>
          <w:divBdr>
            <w:top w:val="none" w:sz="0" w:space="0" w:color="auto"/>
            <w:left w:val="none" w:sz="0" w:space="0" w:color="auto"/>
            <w:bottom w:val="none" w:sz="0" w:space="0" w:color="auto"/>
            <w:right w:val="none" w:sz="0" w:space="0" w:color="auto"/>
          </w:divBdr>
        </w:div>
        <w:div w:id="777873405">
          <w:marLeft w:val="0"/>
          <w:marRight w:val="0"/>
          <w:marTop w:val="0"/>
          <w:marBottom w:val="0"/>
          <w:divBdr>
            <w:top w:val="none" w:sz="0" w:space="0" w:color="auto"/>
            <w:left w:val="none" w:sz="0" w:space="0" w:color="auto"/>
            <w:bottom w:val="none" w:sz="0" w:space="0" w:color="auto"/>
            <w:right w:val="none" w:sz="0" w:space="0" w:color="auto"/>
          </w:divBdr>
        </w:div>
        <w:div w:id="2021545509">
          <w:marLeft w:val="0"/>
          <w:marRight w:val="0"/>
          <w:marTop w:val="0"/>
          <w:marBottom w:val="0"/>
          <w:divBdr>
            <w:top w:val="none" w:sz="0" w:space="0" w:color="auto"/>
            <w:left w:val="none" w:sz="0" w:space="0" w:color="auto"/>
            <w:bottom w:val="none" w:sz="0" w:space="0" w:color="auto"/>
            <w:right w:val="none" w:sz="0" w:space="0" w:color="auto"/>
          </w:divBdr>
        </w:div>
        <w:div w:id="1911310961">
          <w:marLeft w:val="0"/>
          <w:marRight w:val="0"/>
          <w:marTop w:val="0"/>
          <w:marBottom w:val="0"/>
          <w:divBdr>
            <w:top w:val="none" w:sz="0" w:space="0" w:color="auto"/>
            <w:left w:val="none" w:sz="0" w:space="0" w:color="auto"/>
            <w:bottom w:val="none" w:sz="0" w:space="0" w:color="auto"/>
            <w:right w:val="none" w:sz="0" w:space="0" w:color="auto"/>
          </w:divBdr>
        </w:div>
        <w:div w:id="21439286">
          <w:marLeft w:val="0"/>
          <w:marRight w:val="0"/>
          <w:marTop w:val="0"/>
          <w:marBottom w:val="0"/>
          <w:divBdr>
            <w:top w:val="none" w:sz="0" w:space="0" w:color="auto"/>
            <w:left w:val="none" w:sz="0" w:space="0" w:color="auto"/>
            <w:bottom w:val="none" w:sz="0" w:space="0" w:color="auto"/>
            <w:right w:val="none" w:sz="0" w:space="0" w:color="auto"/>
          </w:divBdr>
        </w:div>
        <w:div w:id="1876232382">
          <w:marLeft w:val="0"/>
          <w:marRight w:val="0"/>
          <w:marTop w:val="0"/>
          <w:marBottom w:val="0"/>
          <w:divBdr>
            <w:top w:val="none" w:sz="0" w:space="0" w:color="auto"/>
            <w:left w:val="none" w:sz="0" w:space="0" w:color="auto"/>
            <w:bottom w:val="none" w:sz="0" w:space="0" w:color="auto"/>
            <w:right w:val="none" w:sz="0" w:space="0" w:color="auto"/>
          </w:divBdr>
        </w:div>
        <w:div w:id="1540121195">
          <w:marLeft w:val="0"/>
          <w:marRight w:val="0"/>
          <w:marTop w:val="0"/>
          <w:marBottom w:val="0"/>
          <w:divBdr>
            <w:top w:val="none" w:sz="0" w:space="0" w:color="auto"/>
            <w:left w:val="none" w:sz="0" w:space="0" w:color="auto"/>
            <w:bottom w:val="none" w:sz="0" w:space="0" w:color="auto"/>
            <w:right w:val="none" w:sz="0" w:space="0" w:color="auto"/>
          </w:divBdr>
        </w:div>
        <w:div w:id="1226063732">
          <w:marLeft w:val="0"/>
          <w:marRight w:val="0"/>
          <w:marTop w:val="0"/>
          <w:marBottom w:val="0"/>
          <w:divBdr>
            <w:top w:val="none" w:sz="0" w:space="0" w:color="auto"/>
            <w:left w:val="none" w:sz="0" w:space="0" w:color="auto"/>
            <w:bottom w:val="none" w:sz="0" w:space="0" w:color="auto"/>
            <w:right w:val="none" w:sz="0" w:space="0" w:color="auto"/>
          </w:divBdr>
        </w:div>
        <w:div w:id="1597320394">
          <w:marLeft w:val="0"/>
          <w:marRight w:val="0"/>
          <w:marTop w:val="0"/>
          <w:marBottom w:val="0"/>
          <w:divBdr>
            <w:top w:val="none" w:sz="0" w:space="0" w:color="auto"/>
            <w:left w:val="none" w:sz="0" w:space="0" w:color="auto"/>
            <w:bottom w:val="none" w:sz="0" w:space="0" w:color="auto"/>
            <w:right w:val="none" w:sz="0" w:space="0" w:color="auto"/>
          </w:divBdr>
        </w:div>
        <w:div w:id="1703357970">
          <w:marLeft w:val="0"/>
          <w:marRight w:val="0"/>
          <w:marTop w:val="0"/>
          <w:marBottom w:val="0"/>
          <w:divBdr>
            <w:top w:val="none" w:sz="0" w:space="0" w:color="auto"/>
            <w:left w:val="none" w:sz="0" w:space="0" w:color="auto"/>
            <w:bottom w:val="none" w:sz="0" w:space="0" w:color="auto"/>
            <w:right w:val="none" w:sz="0" w:space="0" w:color="auto"/>
          </w:divBdr>
        </w:div>
        <w:div w:id="1880891160">
          <w:marLeft w:val="0"/>
          <w:marRight w:val="0"/>
          <w:marTop w:val="0"/>
          <w:marBottom w:val="0"/>
          <w:divBdr>
            <w:top w:val="none" w:sz="0" w:space="0" w:color="auto"/>
            <w:left w:val="none" w:sz="0" w:space="0" w:color="auto"/>
            <w:bottom w:val="none" w:sz="0" w:space="0" w:color="auto"/>
            <w:right w:val="none" w:sz="0" w:space="0" w:color="auto"/>
          </w:divBdr>
        </w:div>
        <w:div w:id="2074694565">
          <w:marLeft w:val="0"/>
          <w:marRight w:val="0"/>
          <w:marTop w:val="0"/>
          <w:marBottom w:val="0"/>
          <w:divBdr>
            <w:top w:val="none" w:sz="0" w:space="0" w:color="auto"/>
            <w:left w:val="none" w:sz="0" w:space="0" w:color="auto"/>
            <w:bottom w:val="none" w:sz="0" w:space="0" w:color="auto"/>
            <w:right w:val="none" w:sz="0" w:space="0" w:color="auto"/>
          </w:divBdr>
        </w:div>
        <w:div w:id="79644605">
          <w:marLeft w:val="0"/>
          <w:marRight w:val="0"/>
          <w:marTop w:val="0"/>
          <w:marBottom w:val="0"/>
          <w:divBdr>
            <w:top w:val="none" w:sz="0" w:space="0" w:color="auto"/>
            <w:left w:val="none" w:sz="0" w:space="0" w:color="auto"/>
            <w:bottom w:val="none" w:sz="0" w:space="0" w:color="auto"/>
            <w:right w:val="none" w:sz="0" w:space="0" w:color="auto"/>
          </w:divBdr>
        </w:div>
        <w:div w:id="963661753">
          <w:marLeft w:val="0"/>
          <w:marRight w:val="0"/>
          <w:marTop w:val="0"/>
          <w:marBottom w:val="0"/>
          <w:divBdr>
            <w:top w:val="none" w:sz="0" w:space="0" w:color="auto"/>
            <w:left w:val="none" w:sz="0" w:space="0" w:color="auto"/>
            <w:bottom w:val="none" w:sz="0" w:space="0" w:color="auto"/>
            <w:right w:val="none" w:sz="0" w:space="0" w:color="auto"/>
          </w:divBdr>
        </w:div>
        <w:div w:id="349530074">
          <w:marLeft w:val="0"/>
          <w:marRight w:val="0"/>
          <w:marTop w:val="0"/>
          <w:marBottom w:val="0"/>
          <w:divBdr>
            <w:top w:val="none" w:sz="0" w:space="0" w:color="auto"/>
            <w:left w:val="none" w:sz="0" w:space="0" w:color="auto"/>
            <w:bottom w:val="none" w:sz="0" w:space="0" w:color="auto"/>
            <w:right w:val="none" w:sz="0" w:space="0" w:color="auto"/>
          </w:divBdr>
        </w:div>
        <w:div w:id="1119226707">
          <w:marLeft w:val="0"/>
          <w:marRight w:val="0"/>
          <w:marTop w:val="0"/>
          <w:marBottom w:val="0"/>
          <w:divBdr>
            <w:top w:val="none" w:sz="0" w:space="0" w:color="auto"/>
            <w:left w:val="none" w:sz="0" w:space="0" w:color="auto"/>
            <w:bottom w:val="none" w:sz="0" w:space="0" w:color="auto"/>
            <w:right w:val="none" w:sz="0" w:space="0" w:color="auto"/>
          </w:divBdr>
        </w:div>
        <w:div w:id="1849634566">
          <w:marLeft w:val="0"/>
          <w:marRight w:val="0"/>
          <w:marTop w:val="0"/>
          <w:marBottom w:val="0"/>
          <w:divBdr>
            <w:top w:val="none" w:sz="0" w:space="0" w:color="auto"/>
            <w:left w:val="none" w:sz="0" w:space="0" w:color="auto"/>
            <w:bottom w:val="none" w:sz="0" w:space="0" w:color="auto"/>
            <w:right w:val="none" w:sz="0" w:space="0" w:color="auto"/>
          </w:divBdr>
        </w:div>
        <w:div w:id="360589101">
          <w:marLeft w:val="0"/>
          <w:marRight w:val="0"/>
          <w:marTop w:val="0"/>
          <w:marBottom w:val="0"/>
          <w:divBdr>
            <w:top w:val="none" w:sz="0" w:space="0" w:color="auto"/>
            <w:left w:val="none" w:sz="0" w:space="0" w:color="auto"/>
            <w:bottom w:val="none" w:sz="0" w:space="0" w:color="auto"/>
            <w:right w:val="none" w:sz="0" w:space="0" w:color="auto"/>
          </w:divBdr>
        </w:div>
        <w:div w:id="2025326663">
          <w:marLeft w:val="0"/>
          <w:marRight w:val="0"/>
          <w:marTop w:val="0"/>
          <w:marBottom w:val="0"/>
          <w:divBdr>
            <w:top w:val="none" w:sz="0" w:space="0" w:color="auto"/>
            <w:left w:val="none" w:sz="0" w:space="0" w:color="auto"/>
            <w:bottom w:val="none" w:sz="0" w:space="0" w:color="auto"/>
            <w:right w:val="none" w:sz="0" w:space="0" w:color="auto"/>
          </w:divBdr>
        </w:div>
        <w:div w:id="73943590">
          <w:marLeft w:val="0"/>
          <w:marRight w:val="0"/>
          <w:marTop w:val="0"/>
          <w:marBottom w:val="0"/>
          <w:divBdr>
            <w:top w:val="none" w:sz="0" w:space="0" w:color="auto"/>
            <w:left w:val="none" w:sz="0" w:space="0" w:color="auto"/>
            <w:bottom w:val="none" w:sz="0" w:space="0" w:color="auto"/>
            <w:right w:val="none" w:sz="0" w:space="0" w:color="auto"/>
          </w:divBdr>
        </w:div>
        <w:div w:id="662971995">
          <w:marLeft w:val="0"/>
          <w:marRight w:val="0"/>
          <w:marTop w:val="0"/>
          <w:marBottom w:val="0"/>
          <w:divBdr>
            <w:top w:val="none" w:sz="0" w:space="0" w:color="auto"/>
            <w:left w:val="none" w:sz="0" w:space="0" w:color="auto"/>
            <w:bottom w:val="none" w:sz="0" w:space="0" w:color="auto"/>
            <w:right w:val="none" w:sz="0" w:space="0" w:color="auto"/>
          </w:divBdr>
        </w:div>
        <w:div w:id="146826977">
          <w:marLeft w:val="0"/>
          <w:marRight w:val="0"/>
          <w:marTop w:val="0"/>
          <w:marBottom w:val="0"/>
          <w:divBdr>
            <w:top w:val="none" w:sz="0" w:space="0" w:color="auto"/>
            <w:left w:val="none" w:sz="0" w:space="0" w:color="auto"/>
            <w:bottom w:val="none" w:sz="0" w:space="0" w:color="auto"/>
            <w:right w:val="none" w:sz="0" w:space="0" w:color="auto"/>
          </w:divBdr>
        </w:div>
        <w:div w:id="2019959530">
          <w:marLeft w:val="0"/>
          <w:marRight w:val="0"/>
          <w:marTop w:val="0"/>
          <w:marBottom w:val="0"/>
          <w:divBdr>
            <w:top w:val="none" w:sz="0" w:space="0" w:color="auto"/>
            <w:left w:val="none" w:sz="0" w:space="0" w:color="auto"/>
            <w:bottom w:val="none" w:sz="0" w:space="0" w:color="auto"/>
            <w:right w:val="none" w:sz="0" w:space="0" w:color="auto"/>
          </w:divBdr>
        </w:div>
        <w:div w:id="2056736938">
          <w:marLeft w:val="0"/>
          <w:marRight w:val="0"/>
          <w:marTop w:val="0"/>
          <w:marBottom w:val="0"/>
          <w:divBdr>
            <w:top w:val="none" w:sz="0" w:space="0" w:color="auto"/>
            <w:left w:val="none" w:sz="0" w:space="0" w:color="auto"/>
            <w:bottom w:val="none" w:sz="0" w:space="0" w:color="auto"/>
            <w:right w:val="none" w:sz="0" w:space="0" w:color="auto"/>
          </w:divBdr>
        </w:div>
        <w:div w:id="380448932">
          <w:marLeft w:val="0"/>
          <w:marRight w:val="0"/>
          <w:marTop w:val="0"/>
          <w:marBottom w:val="0"/>
          <w:divBdr>
            <w:top w:val="none" w:sz="0" w:space="0" w:color="auto"/>
            <w:left w:val="none" w:sz="0" w:space="0" w:color="auto"/>
            <w:bottom w:val="none" w:sz="0" w:space="0" w:color="auto"/>
            <w:right w:val="none" w:sz="0" w:space="0" w:color="auto"/>
          </w:divBdr>
        </w:div>
        <w:div w:id="733237880">
          <w:marLeft w:val="0"/>
          <w:marRight w:val="0"/>
          <w:marTop w:val="0"/>
          <w:marBottom w:val="0"/>
          <w:divBdr>
            <w:top w:val="none" w:sz="0" w:space="0" w:color="auto"/>
            <w:left w:val="none" w:sz="0" w:space="0" w:color="auto"/>
            <w:bottom w:val="none" w:sz="0" w:space="0" w:color="auto"/>
            <w:right w:val="none" w:sz="0" w:space="0" w:color="auto"/>
          </w:divBdr>
        </w:div>
        <w:div w:id="1660381887">
          <w:marLeft w:val="0"/>
          <w:marRight w:val="0"/>
          <w:marTop w:val="0"/>
          <w:marBottom w:val="0"/>
          <w:divBdr>
            <w:top w:val="none" w:sz="0" w:space="0" w:color="auto"/>
            <w:left w:val="none" w:sz="0" w:space="0" w:color="auto"/>
            <w:bottom w:val="none" w:sz="0" w:space="0" w:color="auto"/>
            <w:right w:val="none" w:sz="0" w:space="0" w:color="auto"/>
          </w:divBdr>
        </w:div>
        <w:div w:id="1415281138">
          <w:marLeft w:val="0"/>
          <w:marRight w:val="0"/>
          <w:marTop w:val="0"/>
          <w:marBottom w:val="0"/>
          <w:divBdr>
            <w:top w:val="none" w:sz="0" w:space="0" w:color="auto"/>
            <w:left w:val="none" w:sz="0" w:space="0" w:color="auto"/>
            <w:bottom w:val="none" w:sz="0" w:space="0" w:color="auto"/>
            <w:right w:val="none" w:sz="0" w:space="0" w:color="auto"/>
          </w:divBdr>
        </w:div>
        <w:div w:id="1461069636">
          <w:marLeft w:val="0"/>
          <w:marRight w:val="0"/>
          <w:marTop w:val="0"/>
          <w:marBottom w:val="0"/>
          <w:divBdr>
            <w:top w:val="none" w:sz="0" w:space="0" w:color="auto"/>
            <w:left w:val="none" w:sz="0" w:space="0" w:color="auto"/>
            <w:bottom w:val="none" w:sz="0" w:space="0" w:color="auto"/>
            <w:right w:val="none" w:sz="0" w:space="0" w:color="auto"/>
          </w:divBdr>
        </w:div>
        <w:div w:id="1907492806">
          <w:marLeft w:val="0"/>
          <w:marRight w:val="0"/>
          <w:marTop w:val="0"/>
          <w:marBottom w:val="0"/>
          <w:divBdr>
            <w:top w:val="none" w:sz="0" w:space="0" w:color="auto"/>
            <w:left w:val="none" w:sz="0" w:space="0" w:color="auto"/>
            <w:bottom w:val="none" w:sz="0" w:space="0" w:color="auto"/>
            <w:right w:val="none" w:sz="0" w:space="0" w:color="auto"/>
          </w:divBdr>
        </w:div>
        <w:div w:id="1120954701">
          <w:marLeft w:val="0"/>
          <w:marRight w:val="0"/>
          <w:marTop w:val="0"/>
          <w:marBottom w:val="0"/>
          <w:divBdr>
            <w:top w:val="none" w:sz="0" w:space="0" w:color="auto"/>
            <w:left w:val="none" w:sz="0" w:space="0" w:color="auto"/>
            <w:bottom w:val="none" w:sz="0" w:space="0" w:color="auto"/>
            <w:right w:val="none" w:sz="0" w:space="0" w:color="auto"/>
          </w:divBdr>
        </w:div>
        <w:div w:id="1610041708">
          <w:marLeft w:val="0"/>
          <w:marRight w:val="0"/>
          <w:marTop w:val="0"/>
          <w:marBottom w:val="0"/>
          <w:divBdr>
            <w:top w:val="none" w:sz="0" w:space="0" w:color="auto"/>
            <w:left w:val="none" w:sz="0" w:space="0" w:color="auto"/>
            <w:bottom w:val="none" w:sz="0" w:space="0" w:color="auto"/>
            <w:right w:val="none" w:sz="0" w:space="0" w:color="auto"/>
          </w:divBdr>
        </w:div>
        <w:div w:id="1596329507">
          <w:marLeft w:val="0"/>
          <w:marRight w:val="0"/>
          <w:marTop w:val="0"/>
          <w:marBottom w:val="0"/>
          <w:divBdr>
            <w:top w:val="none" w:sz="0" w:space="0" w:color="auto"/>
            <w:left w:val="none" w:sz="0" w:space="0" w:color="auto"/>
            <w:bottom w:val="none" w:sz="0" w:space="0" w:color="auto"/>
            <w:right w:val="none" w:sz="0" w:space="0" w:color="auto"/>
          </w:divBdr>
        </w:div>
        <w:div w:id="1742368164">
          <w:marLeft w:val="0"/>
          <w:marRight w:val="0"/>
          <w:marTop w:val="0"/>
          <w:marBottom w:val="0"/>
          <w:divBdr>
            <w:top w:val="none" w:sz="0" w:space="0" w:color="auto"/>
            <w:left w:val="none" w:sz="0" w:space="0" w:color="auto"/>
            <w:bottom w:val="none" w:sz="0" w:space="0" w:color="auto"/>
            <w:right w:val="none" w:sz="0" w:space="0" w:color="auto"/>
          </w:divBdr>
        </w:div>
        <w:div w:id="1692145969">
          <w:marLeft w:val="0"/>
          <w:marRight w:val="0"/>
          <w:marTop w:val="0"/>
          <w:marBottom w:val="0"/>
          <w:divBdr>
            <w:top w:val="none" w:sz="0" w:space="0" w:color="auto"/>
            <w:left w:val="none" w:sz="0" w:space="0" w:color="auto"/>
            <w:bottom w:val="none" w:sz="0" w:space="0" w:color="auto"/>
            <w:right w:val="none" w:sz="0" w:space="0" w:color="auto"/>
          </w:divBdr>
        </w:div>
        <w:div w:id="1945069354">
          <w:marLeft w:val="0"/>
          <w:marRight w:val="0"/>
          <w:marTop w:val="0"/>
          <w:marBottom w:val="0"/>
          <w:divBdr>
            <w:top w:val="none" w:sz="0" w:space="0" w:color="auto"/>
            <w:left w:val="none" w:sz="0" w:space="0" w:color="auto"/>
            <w:bottom w:val="none" w:sz="0" w:space="0" w:color="auto"/>
            <w:right w:val="none" w:sz="0" w:space="0" w:color="auto"/>
          </w:divBdr>
        </w:div>
        <w:div w:id="1354695332">
          <w:marLeft w:val="0"/>
          <w:marRight w:val="0"/>
          <w:marTop w:val="0"/>
          <w:marBottom w:val="0"/>
          <w:divBdr>
            <w:top w:val="none" w:sz="0" w:space="0" w:color="auto"/>
            <w:left w:val="none" w:sz="0" w:space="0" w:color="auto"/>
            <w:bottom w:val="none" w:sz="0" w:space="0" w:color="auto"/>
            <w:right w:val="none" w:sz="0" w:space="0" w:color="auto"/>
          </w:divBdr>
        </w:div>
        <w:div w:id="1193953587">
          <w:marLeft w:val="0"/>
          <w:marRight w:val="0"/>
          <w:marTop w:val="0"/>
          <w:marBottom w:val="0"/>
          <w:divBdr>
            <w:top w:val="none" w:sz="0" w:space="0" w:color="auto"/>
            <w:left w:val="none" w:sz="0" w:space="0" w:color="auto"/>
            <w:bottom w:val="none" w:sz="0" w:space="0" w:color="auto"/>
            <w:right w:val="none" w:sz="0" w:space="0" w:color="auto"/>
          </w:divBdr>
        </w:div>
        <w:div w:id="1401437948">
          <w:marLeft w:val="0"/>
          <w:marRight w:val="0"/>
          <w:marTop w:val="0"/>
          <w:marBottom w:val="0"/>
          <w:divBdr>
            <w:top w:val="none" w:sz="0" w:space="0" w:color="auto"/>
            <w:left w:val="none" w:sz="0" w:space="0" w:color="auto"/>
            <w:bottom w:val="none" w:sz="0" w:space="0" w:color="auto"/>
            <w:right w:val="none" w:sz="0" w:space="0" w:color="auto"/>
          </w:divBdr>
        </w:div>
        <w:div w:id="1616447893">
          <w:marLeft w:val="0"/>
          <w:marRight w:val="0"/>
          <w:marTop w:val="0"/>
          <w:marBottom w:val="0"/>
          <w:divBdr>
            <w:top w:val="none" w:sz="0" w:space="0" w:color="auto"/>
            <w:left w:val="none" w:sz="0" w:space="0" w:color="auto"/>
            <w:bottom w:val="none" w:sz="0" w:space="0" w:color="auto"/>
            <w:right w:val="none" w:sz="0" w:space="0" w:color="auto"/>
          </w:divBdr>
        </w:div>
        <w:div w:id="452209470">
          <w:marLeft w:val="0"/>
          <w:marRight w:val="0"/>
          <w:marTop w:val="0"/>
          <w:marBottom w:val="0"/>
          <w:divBdr>
            <w:top w:val="none" w:sz="0" w:space="0" w:color="auto"/>
            <w:left w:val="none" w:sz="0" w:space="0" w:color="auto"/>
            <w:bottom w:val="none" w:sz="0" w:space="0" w:color="auto"/>
            <w:right w:val="none" w:sz="0" w:space="0" w:color="auto"/>
          </w:divBdr>
        </w:div>
        <w:div w:id="1970621802">
          <w:marLeft w:val="0"/>
          <w:marRight w:val="0"/>
          <w:marTop w:val="0"/>
          <w:marBottom w:val="0"/>
          <w:divBdr>
            <w:top w:val="none" w:sz="0" w:space="0" w:color="auto"/>
            <w:left w:val="none" w:sz="0" w:space="0" w:color="auto"/>
            <w:bottom w:val="none" w:sz="0" w:space="0" w:color="auto"/>
            <w:right w:val="none" w:sz="0" w:space="0" w:color="auto"/>
          </w:divBdr>
        </w:div>
        <w:div w:id="3436603">
          <w:marLeft w:val="0"/>
          <w:marRight w:val="0"/>
          <w:marTop w:val="0"/>
          <w:marBottom w:val="0"/>
          <w:divBdr>
            <w:top w:val="none" w:sz="0" w:space="0" w:color="auto"/>
            <w:left w:val="none" w:sz="0" w:space="0" w:color="auto"/>
            <w:bottom w:val="none" w:sz="0" w:space="0" w:color="auto"/>
            <w:right w:val="none" w:sz="0" w:space="0" w:color="auto"/>
          </w:divBdr>
        </w:div>
        <w:div w:id="686298238">
          <w:marLeft w:val="0"/>
          <w:marRight w:val="0"/>
          <w:marTop w:val="0"/>
          <w:marBottom w:val="0"/>
          <w:divBdr>
            <w:top w:val="none" w:sz="0" w:space="0" w:color="auto"/>
            <w:left w:val="none" w:sz="0" w:space="0" w:color="auto"/>
            <w:bottom w:val="none" w:sz="0" w:space="0" w:color="auto"/>
            <w:right w:val="none" w:sz="0" w:space="0" w:color="auto"/>
          </w:divBdr>
        </w:div>
        <w:div w:id="670068022">
          <w:marLeft w:val="0"/>
          <w:marRight w:val="0"/>
          <w:marTop w:val="0"/>
          <w:marBottom w:val="0"/>
          <w:divBdr>
            <w:top w:val="none" w:sz="0" w:space="0" w:color="auto"/>
            <w:left w:val="none" w:sz="0" w:space="0" w:color="auto"/>
            <w:bottom w:val="none" w:sz="0" w:space="0" w:color="auto"/>
            <w:right w:val="none" w:sz="0" w:space="0" w:color="auto"/>
          </w:divBdr>
        </w:div>
        <w:div w:id="1363241136">
          <w:marLeft w:val="0"/>
          <w:marRight w:val="0"/>
          <w:marTop w:val="0"/>
          <w:marBottom w:val="0"/>
          <w:divBdr>
            <w:top w:val="none" w:sz="0" w:space="0" w:color="auto"/>
            <w:left w:val="none" w:sz="0" w:space="0" w:color="auto"/>
            <w:bottom w:val="none" w:sz="0" w:space="0" w:color="auto"/>
            <w:right w:val="none" w:sz="0" w:space="0" w:color="auto"/>
          </w:divBdr>
        </w:div>
        <w:div w:id="1117026017">
          <w:marLeft w:val="0"/>
          <w:marRight w:val="0"/>
          <w:marTop w:val="0"/>
          <w:marBottom w:val="0"/>
          <w:divBdr>
            <w:top w:val="none" w:sz="0" w:space="0" w:color="auto"/>
            <w:left w:val="none" w:sz="0" w:space="0" w:color="auto"/>
            <w:bottom w:val="none" w:sz="0" w:space="0" w:color="auto"/>
            <w:right w:val="none" w:sz="0" w:space="0" w:color="auto"/>
          </w:divBdr>
        </w:div>
        <w:div w:id="898980267">
          <w:marLeft w:val="0"/>
          <w:marRight w:val="0"/>
          <w:marTop w:val="0"/>
          <w:marBottom w:val="0"/>
          <w:divBdr>
            <w:top w:val="none" w:sz="0" w:space="0" w:color="auto"/>
            <w:left w:val="none" w:sz="0" w:space="0" w:color="auto"/>
            <w:bottom w:val="none" w:sz="0" w:space="0" w:color="auto"/>
            <w:right w:val="none" w:sz="0" w:space="0" w:color="auto"/>
          </w:divBdr>
        </w:div>
        <w:div w:id="480465218">
          <w:marLeft w:val="0"/>
          <w:marRight w:val="0"/>
          <w:marTop w:val="0"/>
          <w:marBottom w:val="0"/>
          <w:divBdr>
            <w:top w:val="none" w:sz="0" w:space="0" w:color="auto"/>
            <w:left w:val="none" w:sz="0" w:space="0" w:color="auto"/>
            <w:bottom w:val="none" w:sz="0" w:space="0" w:color="auto"/>
            <w:right w:val="none" w:sz="0" w:space="0" w:color="auto"/>
          </w:divBdr>
        </w:div>
        <w:div w:id="1672366036">
          <w:marLeft w:val="0"/>
          <w:marRight w:val="0"/>
          <w:marTop w:val="0"/>
          <w:marBottom w:val="0"/>
          <w:divBdr>
            <w:top w:val="none" w:sz="0" w:space="0" w:color="auto"/>
            <w:left w:val="none" w:sz="0" w:space="0" w:color="auto"/>
            <w:bottom w:val="none" w:sz="0" w:space="0" w:color="auto"/>
            <w:right w:val="none" w:sz="0" w:space="0" w:color="auto"/>
          </w:divBdr>
        </w:div>
        <w:div w:id="970088445">
          <w:marLeft w:val="0"/>
          <w:marRight w:val="0"/>
          <w:marTop w:val="0"/>
          <w:marBottom w:val="0"/>
          <w:divBdr>
            <w:top w:val="none" w:sz="0" w:space="0" w:color="auto"/>
            <w:left w:val="none" w:sz="0" w:space="0" w:color="auto"/>
            <w:bottom w:val="none" w:sz="0" w:space="0" w:color="auto"/>
            <w:right w:val="none" w:sz="0" w:space="0" w:color="auto"/>
          </w:divBdr>
        </w:div>
        <w:div w:id="191194203">
          <w:marLeft w:val="0"/>
          <w:marRight w:val="0"/>
          <w:marTop w:val="0"/>
          <w:marBottom w:val="0"/>
          <w:divBdr>
            <w:top w:val="none" w:sz="0" w:space="0" w:color="auto"/>
            <w:left w:val="none" w:sz="0" w:space="0" w:color="auto"/>
            <w:bottom w:val="none" w:sz="0" w:space="0" w:color="auto"/>
            <w:right w:val="none" w:sz="0" w:space="0" w:color="auto"/>
          </w:divBdr>
        </w:div>
        <w:div w:id="339700408">
          <w:marLeft w:val="0"/>
          <w:marRight w:val="0"/>
          <w:marTop w:val="0"/>
          <w:marBottom w:val="0"/>
          <w:divBdr>
            <w:top w:val="none" w:sz="0" w:space="0" w:color="auto"/>
            <w:left w:val="none" w:sz="0" w:space="0" w:color="auto"/>
            <w:bottom w:val="none" w:sz="0" w:space="0" w:color="auto"/>
            <w:right w:val="none" w:sz="0" w:space="0" w:color="auto"/>
          </w:divBdr>
        </w:div>
        <w:div w:id="1069614590">
          <w:marLeft w:val="0"/>
          <w:marRight w:val="0"/>
          <w:marTop w:val="0"/>
          <w:marBottom w:val="0"/>
          <w:divBdr>
            <w:top w:val="none" w:sz="0" w:space="0" w:color="auto"/>
            <w:left w:val="none" w:sz="0" w:space="0" w:color="auto"/>
            <w:bottom w:val="none" w:sz="0" w:space="0" w:color="auto"/>
            <w:right w:val="none" w:sz="0" w:space="0" w:color="auto"/>
          </w:divBdr>
        </w:div>
      </w:divsChild>
    </w:div>
    <w:div w:id="1935283582">
      <w:bodyDiv w:val="1"/>
      <w:marLeft w:val="0"/>
      <w:marRight w:val="0"/>
      <w:marTop w:val="0"/>
      <w:marBottom w:val="0"/>
      <w:divBdr>
        <w:top w:val="none" w:sz="0" w:space="0" w:color="auto"/>
        <w:left w:val="none" w:sz="0" w:space="0" w:color="auto"/>
        <w:bottom w:val="none" w:sz="0" w:space="0" w:color="auto"/>
        <w:right w:val="none" w:sz="0" w:space="0" w:color="auto"/>
      </w:divBdr>
    </w:div>
    <w:div w:id="1986659988">
      <w:bodyDiv w:val="1"/>
      <w:marLeft w:val="0"/>
      <w:marRight w:val="0"/>
      <w:marTop w:val="0"/>
      <w:marBottom w:val="0"/>
      <w:divBdr>
        <w:top w:val="none" w:sz="0" w:space="0" w:color="auto"/>
        <w:left w:val="none" w:sz="0" w:space="0" w:color="auto"/>
        <w:bottom w:val="none" w:sz="0" w:space="0" w:color="auto"/>
        <w:right w:val="none" w:sz="0" w:space="0" w:color="auto"/>
      </w:divBdr>
      <w:divsChild>
        <w:div w:id="1778134703">
          <w:marLeft w:val="446"/>
          <w:marRight w:val="0"/>
          <w:marTop w:val="0"/>
          <w:marBottom w:val="0"/>
          <w:divBdr>
            <w:top w:val="none" w:sz="0" w:space="0" w:color="auto"/>
            <w:left w:val="none" w:sz="0" w:space="0" w:color="auto"/>
            <w:bottom w:val="none" w:sz="0" w:space="0" w:color="auto"/>
            <w:right w:val="none" w:sz="0" w:space="0" w:color="auto"/>
          </w:divBdr>
        </w:div>
        <w:div w:id="1344623384">
          <w:marLeft w:val="446"/>
          <w:marRight w:val="0"/>
          <w:marTop w:val="0"/>
          <w:marBottom w:val="0"/>
          <w:divBdr>
            <w:top w:val="none" w:sz="0" w:space="0" w:color="auto"/>
            <w:left w:val="none" w:sz="0" w:space="0" w:color="auto"/>
            <w:bottom w:val="none" w:sz="0" w:space="0" w:color="auto"/>
            <w:right w:val="none" w:sz="0" w:space="0" w:color="auto"/>
          </w:divBdr>
        </w:div>
        <w:div w:id="332270608">
          <w:marLeft w:val="446"/>
          <w:marRight w:val="0"/>
          <w:marTop w:val="0"/>
          <w:marBottom w:val="0"/>
          <w:divBdr>
            <w:top w:val="none" w:sz="0" w:space="0" w:color="auto"/>
            <w:left w:val="none" w:sz="0" w:space="0" w:color="auto"/>
            <w:bottom w:val="none" w:sz="0" w:space="0" w:color="auto"/>
            <w:right w:val="none" w:sz="0" w:space="0" w:color="auto"/>
          </w:divBdr>
        </w:div>
        <w:div w:id="241985736">
          <w:marLeft w:val="446"/>
          <w:marRight w:val="0"/>
          <w:marTop w:val="0"/>
          <w:marBottom w:val="0"/>
          <w:divBdr>
            <w:top w:val="none" w:sz="0" w:space="0" w:color="auto"/>
            <w:left w:val="none" w:sz="0" w:space="0" w:color="auto"/>
            <w:bottom w:val="none" w:sz="0" w:space="0" w:color="auto"/>
            <w:right w:val="none" w:sz="0" w:space="0" w:color="auto"/>
          </w:divBdr>
        </w:div>
      </w:divsChild>
    </w:div>
    <w:div w:id="2120105716">
      <w:bodyDiv w:val="1"/>
      <w:marLeft w:val="0"/>
      <w:marRight w:val="0"/>
      <w:marTop w:val="0"/>
      <w:marBottom w:val="0"/>
      <w:divBdr>
        <w:top w:val="none" w:sz="0" w:space="0" w:color="auto"/>
        <w:left w:val="none" w:sz="0" w:space="0" w:color="auto"/>
        <w:bottom w:val="none" w:sz="0" w:space="0" w:color="auto"/>
        <w:right w:val="none" w:sz="0" w:space="0" w:color="auto"/>
      </w:divBdr>
      <w:divsChild>
        <w:div w:id="1307737354">
          <w:marLeft w:val="0"/>
          <w:marRight w:val="0"/>
          <w:marTop w:val="0"/>
          <w:marBottom w:val="0"/>
          <w:divBdr>
            <w:top w:val="none" w:sz="0" w:space="0" w:color="auto"/>
            <w:left w:val="none" w:sz="0" w:space="0" w:color="auto"/>
            <w:bottom w:val="none" w:sz="0" w:space="0" w:color="auto"/>
            <w:right w:val="none" w:sz="0" w:space="0" w:color="auto"/>
          </w:divBdr>
        </w:div>
        <w:div w:id="284968279">
          <w:marLeft w:val="0"/>
          <w:marRight w:val="0"/>
          <w:marTop w:val="0"/>
          <w:marBottom w:val="0"/>
          <w:divBdr>
            <w:top w:val="none" w:sz="0" w:space="0" w:color="auto"/>
            <w:left w:val="none" w:sz="0" w:space="0" w:color="auto"/>
            <w:bottom w:val="none" w:sz="0" w:space="0" w:color="auto"/>
            <w:right w:val="none" w:sz="0" w:space="0" w:color="auto"/>
          </w:divBdr>
        </w:div>
        <w:div w:id="1029646266">
          <w:marLeft w:val="0"/>
          <w:marRight w:val="0"/>
          <w:marTop w:val="0"/>
          <w:marBottom w:val="0"/>
          <w:divBdr>
            <w:top w:val="none" w:sz="0" w:space="0" w:color="auto"/>
            <w:left w:val="none" w:sz="0" w:space="0" w:color="auto"/>
            <w:bottom w:val="none" w:sz="0" w:space="0" w:color="auto"/>
            <w:right w:val="none" w:sz="0" w:space="0" w:color="auto"/>
          </w:divBdr>
        </w:div>
        <w:div w:id="718091326">
          <w:marLeft w:val="0"/>
          <w:marRight w:val="0"/>
          <w:marTop w:val="0"/>
          <w:marBottom w:val="0"/>
          <w:divBdr>
            <w:top w:val="none" w:sz="0" w:space="0" w:color="auto"/>
            <w:left w:val="none" w:sz="0" w:space="0" w:color="auto"/>
            <w:bottom w:val="none" w:sz="0" w:space="0" w:color="auto"/>
            <w:right w:val="none" w:sz="0" w:space="0" w:color="auto"/>
          </w:divBdr>
        </w:div>
        <w:div w:id="871386463">
          <w:marLeft w:val="0"/>
          <w:marRight w:val="0"/>
          <w:marTop w:val="0"/>
          <w:marBottom w:val="0"/>
          <w:divBdr>
            <w:top w:val="none" w:sz="0" w:space="0" w:color="auto"/>
            <w:left w:val="none" w:sz="0" w:space="0" w:color="auto"/>
            <w:bottom w:val="none" w:sz="0" w:space="0" w:color="auto"/>
            <w:right w:val="none" w:sz="0" w:space="0" w:color="auto"/>
          </w:divBdr>
        </w:div>
        <w:div w:id="1467697140">
          <w:marLeft w:val="0"/>
          <w:marRight w:val="0"/>
          <w:marTop w:val="0"/>
          <w:marBottom w:val="0"/>
          <w:divBdr>
            <w:top w:val="none" w:sz="0" w:space="0" w:color="auto"/>
            <w:left w:val="none" w:sz="0" w:space="0" w:color="auto"/>
            <w:bottom w:val="none" w:sz="0" w:space="0" w:color="auto"/>
            <w:right w:val="none" w:sz="0" w:space="0" w:color="auto"/>
          </w:divBdr>
        </w:div>
        <w:div w:id="1776093479">
          <w:marLeft w:val="0"/>
          <w:marRight w:val="0"/>
          <w:marTop w:val="0"/>
          <w:marBottom w:val="0"/>
          <w:divBdr>
            <w:top w:val="none" w:sz="0" w:space="0" w:color="auto"/>
            <w:left w:val="none" w:sz="0" w:space="0" w:color="auto"/>
            <w:bottom w:val="none" w:sz="0" w:space="0" w:color="auto"/>
            <w:right w:val="none" w:sz="0" w:space="0" w:color="auto"/>
          </w:divBdr>
        </w:div>
        <w:div w:id="930359456">
          <w:marLeft w:val="0"/>
          <w:marRight w:val="0"/>
          <w:marTop w:val="0"/>
          <w:marBottom w:val="0"/>
          <w:divBdr>
            <w:top w:val="none" w:sz="0" w:space="0" w:color="auto"/>
            <w:left w:val="none" w:sz="0" w:space="0" w:color="auto"/>
            <w:bottom w:val="none" w:sz="0" w:space="0" w:color="auto"/>
            <w:right w:val="none" w:sz="0" w:space="0" w:color="auto"/>
          </w:divBdr>
        </w:div>
        <w:div w:id="234556248">
          <w:marLeft w:val="0"/>
          <w:marRight w:val="0"/>
          <w:marTop w:val="0"/>
          <w:marBottom w:val="0"/>
          <w:divBdr>
            <w:top w:val="none" w:sz="0" w:space="0" w:color="auto"/>
            <w:left w:val="none" w:sz="0" w:space="0" w:color="auto"/>
            <w:bottom w:val="none" w:sz="0" w:space="0" w:color="auto"/>
            <w:right w:val="none" w:sz="0" w:space="0" w:color="auto"/>
          </w:divBdr>
        </w:div>
        <w:div w:id="717322198">
          <w:marLeft w:val="0"/>
          <w:marRight w:val="0"/>
          <w:marTop w:val="0"/>
          <w:marBottom w:val="0"/>
          <w:divBdr>
            <w:top w:val="none" w:sz="0" w:space="0" w:color="auto"/>
            <w:left w:val="none" w:sz="0" w:space="0" w:color="auto"/>
            <w:bottom w:val="none" w:sz="0" w:space="0" w:color="auto"/>
            <w:right w:val="none" w:sz="0" w:space="0" w:color="auto"/>
          </w:divBdr>
        </w:div>
        <w:div w:id="79450901">
          <w:marLeft w:val="0"/>
          <w:marRight w:val="0"/>
          <w:marTop w:val="0"/>
          <w:marBottom w:val="0"/>
          <w:divBdr>
            <w:top w:val="none" w:sz="0" w:space="0" w:color="auto"/>
            <w:left w:val="none" w:sz="0" w:space="0" w:color="auto"/>
            <w:bottom w:val="none" w:sz="0" w:space="0" w:color="auto"/>
            <w:right w:val="none" w:sz="0" w:space="0" w:color="auto"/>
          </w:divBdr>
        </w:div>
        <w:div w:id="1592272467">
          <w:marLeft w:val="0"/>
          <w:marRight w:val="0"/>
          <w:marTop w:val="0"/>
          <w:marBottom w:val="0"/>
          <w:divBdr>
            <w:top w:val="none" w:sz="0" w:space="0" w:color="auto"/>
            <w:left w:val="none" w:sz="0" w:space="0" w:color="auto"/>
            <w:bottom w:val="none" w:sz="0" w:space="0" w:color="auto"/>
            <w:right w:val="none" w:sz="0" w:space="0" w:color="auto"/>
          </w:divBdr>
        </w:div>
        <w:div w:id="1071193995">
          <w:marLeft w:val="0"/>
          <w:marRight w:val="0"/>
          <w:marTop w:val="0"/>
          <w:marBottom w:val="0"/>
          <w:divBdr>
            <w:top w:val="none" w:sz="0" w:space="0" w:color="auto"/>
            <w:left w:val="none" w:sz="0" w:space="0" w:color="auto"/>
            <w:bottom w:val="none" w:sz="0" w:space="0" w:color="auto"/>
            <w:right w:val="none" w:sz="0" w:space="0" w:color="auto"/>
          </w:divBdr>
        </w:div>
        <w:div w:id="934248378">
          <w:marLeft w:val="0"/>
          <w:marRight w:val="0"/>
          <w:marTop w:val="0"/>
          <w:marBottom w:val="0"/>
          <w:divBdr>
            <w:top w:val="none" w:sz="0" w:space="0" w:color="auto"/>
            <w:left w:val="none" w:sz="0" w:space="0" w:color="auto"/>
            <w:bottom w:val="none" w:sz="0" w:space="0" w:color="auto"/>
            <w:right w:val="none" w:sz="0" w:space="0" w:color="auto"/>
          </w:divBdr>
        </w:div>
        <w:div w:id="1069578831">
          <w:marLeft w:val="0"/>
          <w:marRight w:val="0"/>
          <w:marTop w:val="0"/>
          <w:marBottom w:val="0"/>
          <w:divBdr>
            <w:top w:val="none" w:sz="0" w:space="0" w:color="auto"/>
            <w:left w:val="none" w:sz="0" w:space="0" w:color="auto"/>
            <w:bottom w:val="none" w:sz="0" w:space="0" w:color="auto"/>
            <w:right w:val="none" w:sz="0" w:space="0" w:color="auto"/>
          </w:divBdr>
        </w:div>
        <w:div w:id="1145897288">
          <w:marLeft w:val="0"/>
          <w:marRight w:val="0"/>
          <w:marTop w:val="0"/>
          <w:marBottom w:val="0"/>
          <w:divBdr>
            <w:top w:val="none" w:sz="0" w:space="0" w:color="auto"/>
            <w:left w:val="none" w:sz="0" w:space="0" w:color="auto"/>
            <w:bottom w:val="none" w:sz="0" w:space="0" w:color="auto"/>
            <w:right w:val="none" w:sz="0" w:space="0" w:color="auto"/>
          </w:divBdr>
        </w:div>
        <w:div w:id="507061171">
          <w:marLeft w:val="0"/>
          <w:marRight w:val="0"/>
          <w:marTop w:val="0"/>
          <w:marBottom w:val="0"/>
          <w:divBdr>
            <w:top w:val="none" w:sz="0" w:space="0" w:color="auto"/>
            <w:left w:val="none" w:sz="0" w:space="0" w:color="auto"/>
            <w:bottom w:val="none" w:sz="0" w:space="0" w:color="auto"/>
            <w:right w:val="none" w:sz="0" w:space="0" w:color="auto"/>
          </w:divBdr>
        </w:div>
        <w:div w:id="319315696">
          <w:marLeft w:val="0"/>
          <w:marRight w:val="0"/>
          <w:marTop w:val="0"/>
          <w:marBottom w:val="0"/>
          <w:divBdr>
            <w:top w:val="none" w:sz="0" w:space="0" w:color="auto"/>
            <w:left w:val="none" w:sz="0" w:space="0" w:color="auto"/>
            <w:bottom w:val="none" w:sz="0" w:space="0" w:color="auto"/>
            <w:right w:val="none" w:sz="0" w:space="0" w:color="auto"/>
          </w:divBdr>
        </w:div>
        <w:div w:id="949900707">
          <w:marLeft w:val="0"/>
          <w:marRight w:val="0"/>
          <w:marTop w:val="0"/>
          <w:marBottom w:val="0"/>
          <w:divBdr>
            <w:top w:val="none" w:sz="0" w:space="0" w:color="auto"/>
            <w:left w:val="none" w:sz="0" w:space="0" w:color="auto"/>
            <w:bottom w:val="none" w:sz="0" w:space="0" w:color="auto"/>
            <w:right w:val="none" w:sz="0" w:space="0" w:color="auto"/>
          </w:divBdr>
        </w:div>
        <w:div w:id="1917737221">
          <w:marLeft w:val="0"/>
          <w:marRight w:val="0"/>
          <w:marTop w:val="0"/>
          <w:marBottom w:val="0"/>
          <w:divBdr>
            <w:top w:val="none" w:sz="0" w:space="0" w:color="auto"/>
            <w:left w:val="none" w:sz="0" w:space="0" w:color="auto"/>
            <w:bottom w:val="none" w:sz="0" w:space="0" w:color="auto"/>
            <w:right w:val="none" w:sz="0" w:space="0" w:color="auto"/>
          </w:divBdr>
        </w:div>
        <w:div w:id="839464392">
          <w:marLeft w:val="0"/>
          <w:marRight w:val="0"/>
          <w:marTop w:val="0"/>
          <w:marBottom w:val="0"/>
          <w:divBdr>
            <w:top w:val="none" w:sz="0" w:space="0" w:color="auto"/>
            <w:left w:val="none" w:sz="0" w:space="0" w:color="auto"/>
            <w:bottom w:val="none" w:sz="0" w:space="0" w:color="auto"/>
            <w:right w:val="none" w:sz="0" w:space="0" w:color="auto"/>
          </w:divBdr>
        </w:div>
        <w:div w:id="1504738682">
          <w:marLeft w:val="0"/>
          <w:marRight w:val="0"/>
          <w:marTop w:val="0"/>
          <w:marBottom w:val="0"/>
          <w:divBdr>
            <w:top w:val="none" w:sz="0" w:space="0" w:color="auto"/>
            <w:left w:val="none" w:sz="0" w:space="0" w:color="auto"/>
            <w:bottom w:val="none" w:sz="0" w:space="0" w:color="auto"/>
            <w:right w:val="none" w:sz="0" w:space="0" w:color="auto"/>
          </w:divBdr>
        </w:div>
        <w:div w:id="1392116040">
          <w:marLeft w:val="0"/>
          <w:marRight w:val="0"/>
          <w:marTop w:val="0"/>
          <w:marBottom w:val="0"/>
          <w:divBdr>
            <w:top w:val="none" w:sz="0" w:space="0" w:color="auto"/>
            <w:left w:val="none" w:sz="0" w:space="0" w:color="auto"/>
            <w:bottom w:val="none" w:sz="0" w:space="0" w:color="auto"/>
            <w:right w:val="none" w:sz="0" w:space="0" w:color="auto"/>
          </w:divBdr>
        </w:div>
        <w:div w:id="642270938">
          <w:marLeft w:val="0"/>
          <w:marRight w:val="0"/>
          <w:marTop w:val="0"/>
          <w:marBottom w:val="0"/>
          <w:divBdr>
            <w:top w:val="none" w:sz="0" w:space="0" w:color="auto"/>
            <w:left w:val="none" w:sz="0" w:space="0" w:color="auto"/>
            <w:bottom w:val="none" w:sz="0" w:space="0" w:color="auto"/>
            <w:right w:val="none" w:sz="0" w:space="0" w:color="auto"/>
          </w:divBdr>
        </w:div>
        <w:div w:id="873036374">
          <w:marLeft w:val="0"/>
          <w:marRight w:val="0"/>
          <w:marTop w:val="0"/>
          <w:marBottom w:val="0"/>
          <w:divBdr>
            <w:top w:val="none" w:sz="0" w:space="0" w:color="auto"/>
            <w:left w:val="none" w:sz="0" w:space="0" w:color="auto"/>
            <w:bottom w:val="none" w:sz="0" w:space="0" w:color="auto"/>
            <w:right w:val="none" w:sz="0" w:space="0" w:color="auto"/>
          </w:divBdr>
        </w:div>
        <w:div w:id="1651789555">
          <w:marLeft w:val="0"/>
          <w:marRight w:val="0"/>
          <w:marTop w:val="0"/>
          <w:marBottom w:val="0"/>
          <w:divBdr>
            <w:top w:val="none" w:sz="0" w:space="0" w:color="auto"/>
            <w:left w:val="none" w:sz="0" w:space="0" w:color="auto"/>
            <w:bottom w:val="none" w:sz="0" w:space="0" w:color="auto"/>
            <w:right w:val="none" w:sz="0" w:space="0" w:color="auto"/>
          </w:divBdr>
        </w:div>
        <w:div w:id="1340624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diagramQuickStyle" Target="diagrams/quickStyle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Layout" Target="diagrams/layout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diagramColors" Target="diagrams/colors2.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tiff"/><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climateworks.org/wp-content/uploads/2021/03/iGST_21c_Case_Study_Colombia.pdf" TargetMode="External"/><Relationship Id="rId2" Type="http://schemas.openxmlformats.org/officeDocument/2006/relationships/hyperlink" Target="https://www.climateworks.org/wp-content/uploads/2021/03/iGST_21c_Case_Study_Colombia.pdf" TargetMode="External"/><Relationship Id="rId1" Type="http://schemas.openxmlformats.org/officeDocument/2006/relationships/hyperlink" Target="https://www.ifpri.org/blog/how-much-will-global-poverty-increase-because-covid-19" TargetMode="External"/><Relationship Id="rId6" Type="http://schemas.openxmlformats.org/officeDocument/2006/relationships/hyperlink" Target="https://www.nature.org/en-us/what-we-do/our-insights/perspectives/playbook-for-climate-action/?tab_q=tab_container-tab_element_975944242" TargetMode="External"/><Relationship Id="rId5" Type="http://schemas.openxmlformats.org/officeDocument/2006/relationships/hyperlink" Target="https://www.nature.org/en-us/what-we-do/our-insights/perspectives/an-audacious-plan-to-save-the-worlds-oceans/" TargetMode="External"/><Relationship Id="rId4" Type="http://schemas.openxmlformats.org/officeDocument/2006/relationships/hyperlink" Target="http://pubdocs.worldbank.org/en/600041555089009395/FM-Coalition-Principles-final-v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B1A243-C897-5041-9528-D9BBE6926B4B}" type="doc">
      <dgm:prSet loTypeId="urn:microsoft.com/office/officeart/2005/8/layout/balance1" loCatId="" qsTypeId="urn:microsoft.com/office/officeart/2005/8/quickstyle/simple4" qsCatId="simple" csTypeId="urn:microsoft.com/office/officeart/2005/8/colors/colorful4" csCatId="colorful" phldr="1"/>
      <dgm:spPr/>
      <dgm:t>
        <a:bodyPr/>
        <a:lstStyle/>
        <a:p>
          <a:endParaRPr lang="es-ES"/>
        </a:p>
      </dgm:t>
    </dgm:pt>
    <dgm:pt modelId="{BB8A7137-5F46-3242-A429-76130A51D5C4}">
      <dgm:prSet phldrT="[Texto]" custT="1"/>
      <dgm:spPr/>
      <dgm:t>
        <a:bodyPr/>
        <a:lstStyle/>
        <a:p>
          <a:pPr algn="ctr"/>
          <a:r>
            <a:rPr lang="es-ES" sz="900" b="1"/>
            <a:t>Scale down financing for infrastructure and activities that are high in emissions and/or undermine resilience</a:t>
          </a:r>
        </a:p>
      </dgm:t>
    </dgm:pt>
    <dgm:pt modelId="{C2CA6B8D-B154-7140-BBD8-60138761A3C2}" type="parTrans" cxnId="{E40B377E-AF60-2F4F-B032-DE32F88CF5A1}">
      <dgm:prSet/>
      <dgm:spPr/>
      <dgm:t>
        <a:bodyPr/>
        <a:lstStyle/>
        <a:p>
          <a:pPr algn="ctr"/>
          <a:endParaRPr lang="es-ES"/>
        </a:p>
      </dgm:t>
    </dgm:pt>
    <dgm:pt modelId="{A4AFAAC5-1615-D54C-8812-FB6C4A63D0DB}" type="sibTrans" cxnId="{E40B377E-AF60-2F4F-B032-DE32F88CF5A1}">
      <dgm:prSet/>
      <dgm:spPr/>
      <dgm:t>
        <a:bodyPr/>
        <a:lstStyle/>
        <a:p>
          <a:pPr algn="ctr"/>
          <a:endParaRPr lang="es-ES"/>
        </a:p>
      </dgm:t>
    </dgm:pt>
    <dgm:pt modelId="{22ADA559-4624-F448-812A-C2BCF07627FE}">
      <dgm:prSet phldrT="[Texto]" custT="1"/>
      <dgm:spPr/>
      <dgm:t>
        <a:bodyPr/>
        <a:lstStyle/>
        <a:p>
          <a:pPr algn="ctr"/>
          <a:r>
            <a:rPr lang="es-ES" sz="700" b="1"/>
            <a:t> Out of which USD 48.7 multilateral and bilateral financing and only USD 14.5 billion for adaptation</a:t>
          </a:r>
        </a:p>
      </dgm:t>
    </dgm:pt>
    <dgm:pt modelId="{B10DF0BA-F587-8644-A978-7F0D7B967148}" type="parTrans" cxnId="{6B289DF3-DAF9-4A47-AF03-62C7D3CD7E3C}">
      <dgm:prSet/>
      <dgm:spPr/>
      <dgm:t>
        <a:bodyPr/>
        <a:lstStyle/>
        <a:p>
          <a:pPr algn="ctr"/>
          <a:endParaRPr lang="es-ES"/>
        </a:p>
      </dgm:t>
    </dgm:pt>
    <dgm:pt modelId="{7D0BA947-33EE-E24B-ACF9-4475A174FCEF}" type="sibTrans" cxnId="{6B289DF3-DAF9-4A47-AF03-62C7D3CD7E3C}">
      <dgm:prSet/>
      <dgm:spPr/>
      <dgm:t>
        <a:bodyPr/>
        <a:lstStyle/>
        <a:p>
          <a:pPr algn="ctr"/>
          <a:endParaRPr lang="es-ES"/>
        </a:p>
      </dgm:t>
    </dgm:pt>
    <dgm:pt modelId="{FEAC397A-8542-DA43-ACCB-6EE8003BDD2C}">
      <dgm:prSet phldrT="[Texto]" custT="1"/>
      <dgm:spPr/>
      <dgm:t>
        <a:bodyPr/>
        <a:lstStyle/>
        <a:p>
          <a:pPr algn="ctr"/>
          <a:r>
            <a:rPr lang="es-ES" sz="700" b="1"/>
            <a:t>Climate finance flows </a:t>
          </a:r>
        </a:p>
        <a:p>
          <a:pPr algn="ctr"/>
          <a:r>
            <a:rPr lang="es-ES" sz="700" b="1"/>
            <a:t>USD 775 billion</a:t>
          </a:r>
        </a:p>
      </dgm:t>
    </dgm:pt>
    <dgm:pt modelId="{EA118F45-5D5B-2E44-A3B9-01B229219BA9}" type="parTrans" cxnId="{376503BC-8F2B-B644-83BC-C4F4C3073E89}">
      <dgm:prSet/>
      <dgm:spPr/>
      <dgm:t>
        <a:bodyPr/>
        <a:lstStyle/>
        <a:p>
          <a:pPr algn="ctr"/>
          <a:endParaRPr lang="es-ES"/>
        </a:p>
      </dgm:t>
    </dgm:pt>
    <dgm:pt modelId="{1D5238B1-ED92-FB46-A53E-3189079B0FE8}" type="sibTrans" cxnId="{376503BC-8F2B-B644-83BC-C4F4C3073E89}">
      <dgm:prSet/>
      <dgm:spPr/>
      <dgm:t>
        <a:bodyPr/>
        <a:lstStyle/>
        <a:p>
          <a:pPr algn="ctr"/>
          <a:endParaRPr lang="es-ES"/>
        </a:p>
      </dgm:t>
    </dgm:pt>
    <dgm:pt modelId="{BEE3D506-1D15-8E4B-8C93-6D912254E4A3}">
      <dgm:prSet phldrT="[Texto]" custT="1"/>
      <dgm:spPr/>
      <dgm:t>
        <a:bodyPr/>
        <a:lstStyle/>
        <a:p>
          <a:pPr algn="ctr"/>
          <a:r>
            <a:rPr lang="es-ES" sz="900" b="1"/>
            <a:t>Scale up climate financial flows to be consistent with the Paris Agreement</a:t>
          </a:r>
        </a:p>
      </dgm:t>
    </dgm:pt>
    <dgm:pt modelId="{80670430-7932-D948-84D4-910D6F30E0A4}" type="parTrans" cxnId="{8A878664-9579-A540-AF1D-EF7538342A46}">
      <dgm:prSet/>
      <dgm:spPr/>
      <dgm:t>
        <a:bodyPr/>
        <a:lstStyle/>
        <a:p>
          <a:pPr algn="ctr"/>
          <a:endParaRPr lang="es-ES"/>
        </a:p>
      </dgm:t>
    </dgm:pt>
    <dgm:pt modelId="{368CCA44-A289-534E-B6CF-06D00596029E}" type="sibTrans" cxnId="{8A878664-9579-A540-AF1D-EF7538342A46}">
      <dgm:prSet/>
      <dgm:spPr/>
      <dgm:t>
        <a:bodyPr/>
        <a:lstStyle/>
        <a:p>
          <a:pPr algn="ctr"/>
          <a:endParaRPr lang="es-ES"/>
        </a:p>
      </dgm:t>
    </dgm:pt>
    <dgm:pt modelId="{BD184992-F322-9344-930F-5FF6C97EE1E0}">
      <dgm:prSet phldrT="[Texto]" custT="1"/>
      <dgm:spPr/>
      <dgm:t>
        <a:bodyPr/>
        <a:lstStyle/>
        <a:p>
          <a:pPr algn="ctr"/>
          <a:r>
            <a:rPr lang="es-ES" sz="700" b="1"/>
            <a:t>Losses from natural catastrophes </a:t>
          </a:r>
        </a:p>
        <a:p>
          <a:pPr algn="ctr"/>
          <a:r>
            <a:rPr lang="es-ES" sz="700" b="1"/>
            <a:t>USD 339 billion</a:t>
          </a:r>
        </a:p>
      </dgm:t>
    </dgm:pt>
    <dgm:pt modelId="{0B224CF5-6584-CF43-914D-FCE9A37B77A5}" type="parTrans" cxnId="{80A1DD95-7D9F-4445-9582-B7D120B69CB9}">
      <dgm:prSet/>
      <dgm:spPr/>
      <dgm:t>
        <a:bodyPr/>
        <a:lstStyle/>
        <a:p>
          <a:pPr algn="ctr"/>
          <a:endParaRPr lang="es-ES"/>
        </a:p>
      </dgm:t>
    </dgm:pt>
    <dgm:pt modelId="{7463015C-334E-9B48-A705-F23E46904B0E}" type="sibTrans" cxnId="{80A1DD95-7D9F-4445-9582-B7D120B69CB9}">
      <dgm:prSet/>
      <dgm:spPr/>
      <dgm:t>
        <a:bodyPr/>
        <a:lstStyle/>
        <a:p>
          <a:pPr algn="ctr"/>
          <a:endParaRPr lang="es-ES"/>
        </a:p>
      </dgm:t>
    </dgm:pt>
    <dgm:pt modelId="{7153436C-21CF-D346-817C-1D46F100BCE1}">
      <dgm:prSet phldrT="[Texto]" custT="1"/>
      <dgm:spPr/>
      <dgm:t>
        <a:bodyPr/>
        <a:lstStyle/>
        <a:p>
          <a:pPr algn="ctr"/>
          <a:r>
            <a:rPr lang="es-ES" sz="700" b="1"/>
            <a:t>Fossil fuel subsidies - USD 472 billion</a:t>
          </a:r>
        </a:p>
      </dgm:t>
    </dgm:pt>
    <dgm:pt modelId="{DA279E81-A887-7C41-845F-EC28A3FE02A7}" type="parTrans" cxnId="{71367E36-DCA8-0E40-8F9D-266F4E75A3CA}">
      <dgm:prSet/>
      <dgm:spPr/>
      <dgm:t>
        <a:bodyPr/>
        <a:lstStyle/>
        <a:p>
          <a:pPr algn="ctr"/>
          <a:endParaRPr lang="es-ES"/>
        </a:p>
      </dgm:t>
    </dgm:pt>
    <dgm:pt modelId="{8F2D3E55-7361-4448-891F-2760E39AF391}" type="sibTrans" cxnId="{71367E36-DCA8-0E40-8F9D-266F4E75A3CA}">
      <dgm:prSet/>
      <dgm:spPr/>
      <dgm:t>
        <a:bodyPr/>
        <a:lstStyle/>
        <a:p>
          <a:pPr algn="ctr"/>
          <a:endParaRPr lang="es-ES"/>
        </a:p>
      </dgm:t>
    </dgm:pt>
    <dgm:pt modelId="{2D5134D9-2643-F743-A304-18520CB78EBE}">
      <dgm:prSet phldrT="[Texto]" custT="1"/>
      <dgm:spPr/>
      <dgm:t>
        <a:bodyPr/>
        <a:lstStyle/>
        <a:p>
          <a:pPr algn="ctr"/>
          <a:r>
            <a:rPr lang="es-ES" sz="700" b="1"/>
            <a:t>Fossil fuel investment USD 977 billion</a:t>
          </a:r>
        </a:p>
      </dgm:t>
    </dgm:pt>
    <dgm:pt modelId="{67E03864-8576-9441-8898-3099A716D3C7}" type="parTrans" cxnId="{DB976936-1AA3-AF40-9EA0-3F584AF44AFD}">
      <dgm:prSet/>
      <dgm:spPr/>
      <dgm:t>
        <a:bodyPr/>
        <a:lstStyle/>
        <a:p>
          <a:pPr algn="ctr"/>
          <a:endParaRPr lang="es-ES"/>
        </a:p>
      </dgm:t>
    </dgm:pt>
    <dgm:pt modelId="{99C198F1-623D-CA43-AD79-F6FD0DE2503A}" type="sibTrans" cxnId="{DB976936-1AA3-AF40-9EA0-3F584AF44AFD}">
      <dgm:prSet/>
      <dgm:spPr/>
      <dgm:t>
        <a:bodyPr/>
        <a:lstStyle/>
        <a:p>
          <a:pPr algn="ctr"/>
          <a:endParaRPr lang="es-ES"/>
        </a:p>
      </dgm:t>
    </dgm:pt>
    <dgm:pt modelId="{DD54CC5B-C2DE-694C-8B0D-FEDF7E6031B2}">
      <dgm:prSet phldrT="[Texto]" custLinFactX="-100000" custLinFactY="21721" custLinFactNeighborX="-150530" custLinFactNeighborY="100000"/>
      <dgm:spPr/>
      <dgm:t>
        <a:bodyPr/>
        <a:lstStyle/>
        <a:p>
          <a:pPr algn="ctr"/>
          <a:endParaRPr lang="es-ES"/>
        </a:p>
      </dgm:t>
    </dgm:pt>
    <dgm:pt modelId="{A7523850-27F2-5440-8F59-32DAC1C9DE50}" type="parTrans" cxnId="{CB07879E-99D7-1C40-B9BE-537A9243C0D6}">
      <dgm:prSet/>
      <dgm:spPr/>
      <dgm:t>
        <a:bodyPr/>
        <a:lstStyle/>
        <a:p>
          <a:pPr algn="ctr"/>
          <a:endParaRPr lang="es-ES"/>
        </a:p>
      </dgm:t>
    </dgm:pt>
    <dgm:pt modelId="{3CE42535-CD4A-EC4F-A16A-F80C0CEE321F}" type="sibTrans" cxnId="{CB07879E-99D7-1C40-B9BE-537A9243C0D6}">
      <dgm:prSet/>
      <dgm:spPr/>
      <dgm:t>
        <a:bodyPr/>
        <a:lstStyle/>
        <a:p>
          <a:pPr algn="ctr"/>
          <a:endParaRPr lang="es-ES"/>
        </a:p>
      </dgm:t>
    </dgm:pt>
    <dgm:pt modelId="{21A1F39E-1E93-E746-AD25-7AC607D50DDF}">
      <dgm:prSet phldrT="[Texto]" custLinFactX="-100000" custLinFactY="21721" custLinFactNeighborX="-150530" custLinFactNeighborY="100000"/>
      <dgm:spPr/>
      <dgm:t>
        <a:bodyPr/>
        <a:lstStyle/>
        <a:p>
          <a:pPr algn="ctr"/>
          <a:endParaRPr lang="es-ES"/>
        </a:p>
      </dgm:t>
    </dgm:pt>
    <dgm:pt modelId="{57254324-3C5F-474F-802E-2E3EEB03CBC1}" type="parTrans" cxnId="{F0A9FF8C-2E91-9D40-AFD2-214E02BC160C}">
      <dgm:prSet/>
      <dgm:spPr/>
      <dgm:t>
        <a:bodyPr/>
        <a:lstStyle/>
        <a:p>
          <a:pPr algn="ctr"/>
          <a:endParaRPr lang="es-ES"/>
        </a:p>
      </dgm:t>
    </dgm:pt>
    <dgm:pt modelId="{DDB47DFE-7C29-1042-BBAC-7DD84551AB24}" type="sibTrans" cxnId="{F0A9FF8C-2E91-9D40-AFD2-214E02BC160C}">
      <dgm:prSet/>
      <dgm:spPr/>
      <dgm:t>
        <a:bodyPr/>
        <a:lstStyle/>
        <a:p>
          <a:pPr algn="ctr"/>
          <a:endParaRPr lang="es-ES"/>
        </a:p>
      </dgm:t>
    </dgm:pt>
    <dgm:pt modelId="{2ACB5433-D1E4-1E4E-B2C7-2DEF3F90C153}" type="pres">
      <dgm:prSet presAssocID="{DDB1A243-C897-5041-9528-D9BBE6926B4B}" presName="outerComposite" presStyleCnt="0">
        <dgm:presLayoutVars>
          <dgm:chMax val="2"/>
          <dgm:animLvl val="lvl"/>
          <dgm:resizeHandles val="exact"/>
        </dgm:presLayoutVars>
      </dgm:prSet>
      <dgm:spPr/>
    </dgm:pt>
    <dgm:pt modelId="{4646EB94-DEA5-A046-A9B0-1F83011DFA55}" type="pres">
      <dgm:prSet presAssocID="{DDB1A243-C897-5041-9528-D9BBE6926B4B}" presName="dummyMaxCanvas" presStyleCnt="0"/>
      <dgm:spPr/>
    </dgm:pt>
    <dgm:pt modelId="{85D6CAC5-3558-CB4B-BA08-1F072F262E79}" type="pres">
      <dgm:prSet presAssocID="{DDB1A243-C897-5041-9528-D9BBE6926B4B}" presName="parentComposite" presStyleCnt="0"/>
      <dgm:spPr/>
    </dgm:pt>
    <dgm:pt modelId="{5024F701-8873-8A48-9476-71C80FCB3D47}" type="pres">
      <dgm:prSet presAssocID="{DDB1A243-C897-5041-9528-D9BBE6926B4B}" presName="parent1" presStyleLbl="alignAccFollowNode1" presStyleIdx="0" presStyleCnt="4" custScaleX="95731" custScaleY="178677" custLinFactX="100000" custLinFactNeighborX="170198" custLinFactNeighborY="88356">
        <dgm:presLayoutVars>
          <dgm:chMax val="4"/>
        </dgm:presLayoutVars>
      </dgm:prSet>
      <dgm:spPr/>
    </dgm:pt>
    <dgm:pt modelId="{80C41961-55A8-9F4C-B6AC-5116C7A72409}" type="pres">
      <dgm:prSet presAssocID="{DDB1A243-C897-5041-9528-D9BBE6926B4B}" presName="parent2" presStyleLbl="alignAccFollowNode1" presStyleIdx="1" presStyleCnt="4" custScaleY="144392" custLinFactX="-100000" custLinFactY="3864" custLinFactNeighborX="-163758" custLinFactNeighborY="100000">
        <dgm:presLayoutVars>
          <dgm:chMax val="4"/>
        </dgm:presLayoutVars>
      </dgm:prSet>
      <dgm:spPr/>
    </dgm:pt>
    <dgm:pt modelId="{3968FBA3-5A32-A848-B7F1-12CDDC3736BC}" type="pres">
      <dgm:prSet presAssocID="{DDB1A243-C897-5041-9528-D9BBE6926B4B}" presName="childrenComposite" presStyleCnt="0"/>
      <dgm:spPr/>
    </dgm:pt>
    <dgm:pt modelId="{D43429A0-C68C-2048-AC86-63088EA6F1C6}" type="pres">
      <dgm:prSet presAssocID="{DDB1A243-C897-5041-9528-D9BBE6926B4B}" presName="dummyMaxCanvas_ChildArea" presStyleCnt="0"/>
      <dgm:spPr/>
    </dgm:pt>
    <dgm:pt modelId="{A2E2C971-32E2-434D-B585-3FE1CCB6007F}" type="pres">
      <dgm:prSet presAssocID="{DDB1A243-C897-5041-9528-D9BBE6926B4B}" presName="fulcrum" presStyleLbl="alignAccFollowNode1" presStyleIdx="2" presStyleCnt="4"/>
      <dgm:spPr/>
    </dgm:pt>
    <dgm:pt modelId="{DCF93B4E-5EE5-3A4D-BF0C-A21273050587}" type="pres">
      <dgm:prSet presAssocID="{DDB1A243-C897-5041-9528-D9BBE6926B4B}" presName="balance_23" presStyleLbl="alignAccFollowNode1" presStyleIdx="3" presStyleCnt="4">
        <dgm:presLayoutVars>
          <dgm:bulletEnabled val="1"/>
        </dgm:presLayoutVars>
      </dgm:prSet>
      <dgm:spPr/>
    </dgm:pt>
    <dgm:pt modelId="{D2F69CFE-A574-4D45-B961-F599FD744E52}" type="pres">
      <dgm:prSet presAssocID="{DDB1A243-C897-5041-9528-D9BBE6926B4B}" presName="right_23_1" presStyleLbl="node1" presStyleIdx="0" presStyleCnt="5">
        <dgm:presLayoutVars>
          <dgm:bulletEnabled val="1"/>
        </dgm:presLayoutVars>
      </dgm:prSet>
      <dgm:spPr/>
    </dgm:pt>
    <dgm:pt modelId="{B4A50AD7-446F-C142-8A5B-367B19DFD684}" type="pres">
      <dgm:prSet presAssocID="{DDB1A243-C897-5041-9528-D9BBE6926B4B}" presName="right_23_2" presStyleLbl="node1" presStyleIdx="1" presStyleCnt="5">
        <dgm:presLayoutVars>
          <dgm:bulletEnabled val="1"/>
        </dgm:presLayoutVars>
      </dgm:prSet>
      <dgm:spPr/>
    </dgm:pt>
    <dgm:pt modelId="{D244516D-8DDD-F040-8C67-B0CE88E46AF8}" type="pres">
      <dgm:prSet presAssocID="{DDB1A243-C897-5041-9528-D9BBE6926B4B}" presName="right_23_3" presStyleLbl="node1" presStyleIdx="2" presStyleCnt="5">
        <dgm:presLayoutVars>
          <dgm:bulletEnabled val="1"/>
        </dgm:presLayoutVars>
      </dgm:prSet>
      <dgm:spPr/>
    </dgm:pt>
    <dgm:pt modelId="{ED2A8604-F0CE-EE46-84DE-1DD0B1D7AB1B}" type="pres">
      <dgm:prSet presAssocID="{DDB1A243-C897-5041-9528-D9BBE6926B4B}" presName="left_23_1" presStyleLbl="node1" presStyleIdx="3" presStyleCnt="5">
        <dgm:presLayoutVars>
          <dgm:bulletEnabled val="1"/>
        </dgm:presLayoutVars>
      </dgm:prSet>
      <dgm:spPr/>
    </dgm:pt>
    <dgm:pt modelId="{88B03EA0-0139-BF47-8333-CD0746870412}" type="pres">
      <dgm:prSet presAssocID="{DDB1A243-C897-5041-9528-D9BBE6926B4B}" presName="left_23_2" presStyleLbl="node1" presStyleIdx="4" presStyleCnt="5">
        <dgm:presLayoutVars>
          <dgm:bulletEnabled val="1"/>
        </dgm:presLayoutVars>
      </dgm:prSet>
      <dgm:spPr/>
    </dgm:pt>
  </dgm:ptLst>
  <dgm:cxnLst>
    <dgm:cxn modelId="{A3028518-D17D-4574-BF89-4002BFAA0988}" type="presOf" srcId="{DDB1A243-C897-5041-9528-D9BBE6926B4B}" destId="{2ACB5433-D1E4-1E4E-B2C7-2DEF3F90C153}" srcOrd="0" destOrd="0" presId="urn:microsoft.com/office/officeart/2005/8/layout/balance1"/>
    <dgm:cxn modelId="{C0731B2F-0EA4-401E-B05F-6D5750E98533}" type="presOf" srcId="{22ADA559-4624-F448-812A-C2BCF07627FE}" destId="{ED2A8604-F0CE-EE46-84DE-1DD0B1D7AB1B}" srcOrd="0" destOrd="0" presId="urn:microsoft.com/office/officeart/2005/8/layout/balance1"/>
    <dgm:cxn modelId="{DB976936-1AA3-AF40-9EA0-3F584AF44AFD}" srcId="{BEE3D506-1D15-8E4B-8C93-6D912254E4A3}" destId="{2D5134D9-2643-F743-A304-18520CB78EBE}" srcOrd="2" destOrd="0" parTransId="{67E03864-8576-9441-8898-3099A716D3C7}" sibTransId="{99C198F1-623D-CA43-AD79-F6FD0DE2503A}"/>
    <dgm:cxn modelId="{71367E36-DCA8-0E40-8F9D-266F4E75A3CA}" srcId="{BEE3D506-1D15-8E4B-8C93-6D912254E4A3}" destId="{7153436C-21CF-D346-817C-1D46F100BCE1}" srcOrd="1" destOrd="0" parTransId="{DA279E81-A887-7C41-845F-EC28A3FE02A7}" sibTransId="{8F2D3E55-7361-4448-891F-2760E39AF391}"/>
    <dgm:cxn modelId="{C0C60155-F580-4529-BB92-307A2C6820D5}" type="presOf" srcId="{BB8A7137-5F46-3242-A429-76130A51D5C4}" destId="{5024F701-8873-8A48-9476-71C80FCB3D47}" srcOrd="0" destOrd="0" presId="urn:microsoft.com/office/officeart/2005/8/layout/balance1"/>
    <dgm:cxn modelId="{8A878664-9579-A540-AF1D-EF7538342A46}" srcId="{DDB1A243-C897-5041-9528-D9BBE6926B4B}" destId="{BEE3D506-1D15-8E4B-8C93-6D912254E4A3}" srcOrd="1" destOrd="0" parTransId="{80670430-7932-D948-84D4-910D6F30E0A4}" sibTransId="{368CCA44-A289-534E-B6CF-06D00596029E}"/>
    <dgm:cxn modelId="{A8C3A169-0C2B-4149-A938-CD84999BBD9A}" type="presOf" srcId="{7153436C-21CF-D346-817C-1D46F100BCE1}" destId="{B4A50AD7-446F-C142-8A5B-367B19DFD684}" srcOrd="0" destOrd="0" presId="urn:microsoft.com/office/officeart/2005/8/layout/balance1"/>
    <dgm:cxn modelId="{E40B377E-AF60-2F4F-B032-DE32F88CF5A1}" srcId="{DDB1A243-C897-5041-9528-D9BBE6926B4B}" destId="{BB8A7137-5F46-3242-A429-76130A51D5C4}" srcOrd="0" destOrd="0" parTransId="{C2CA6B8D-B154-7140-BBD8-60138761A3C2}" sibTransId="{A4AFAAC5-1615-D54C-8812-FB6C4A63D0DB}"/>
    <dgm:cxn modelId="{C21D2B8B-A766-47CD-81BA-6446DD161DE2}" type="presOf" srcId="{BEE3D506-1D15-8E4B-8C93-6D912254E4A3}" destId="{80C41961-55A8-9F4C-B6AC-5116C7A72409}" srcOrd="0" destOrd="0" presId="urn:microsoft.com/office/officeart/2005/8/layout/balance1"/>
    <dgm:cxn modelId="{F0A9FF8C-2E91-9D40-AFD2-214E02BC160C}" srcId="{DDB1A243-C897-5041-9528-D9BBE6926B4B}" destId="{21A1F39E-1E93-E746-AD25-7AC607D50DDF}" srcOrd="2" destOrd="0" parTransId="{57254324-3C5F-474F-802E-2E3EEB03CBC1}" sibTransId="{DDB47DFE-7C29-1042-BBAC-7DD84551AB24}"/>
    <dgm:cxn modelId="{A0A58491-C8AE-4B5B-BE36-EC9F0D730E6F}" type="presOf" srcId="{BD184992-F322-9344-930F-5FF6C97EE1E0}" destId="{D2F69CFE-A574-4D45-B961-F599FD744E52}" srcOrd="0" destOrd="0" presId="urn:microsoft.com/office/officeart/2005/8/layout/balance1"/>
    <dgm:cxn modelId="{80A1DD95-7D9F-4445-9582-B7D120B69CB9}" srcId="{BEE3D506-1D15-8E4B-8C93-6D912254E4A3}" destId="{BD184992-F322-9344-930F-5FF6C97EE1E0}" srcOrd="0" destOrd="0" parTransId="{0B224CF5-6584-CF43-914D-FCE9A37B77A5}" sibTransId="{7463015C-334E-9B48-A705-F23E46904B0E}"/>
    <dgm:cxn modelId="{CB07879E-99D7-1C40-B9BE-537A9243C0D6}" srcId="{DDB1A243-C897-5041-9528-D9BBE6926B4B}" destId="{DD54CC5B-C2DE-694C-8B0D-FEDF7E6031B2}" srcOrd="3" destOrd="0" parTransId="{A7523850-27F2-5440-8F59-32DAC1C9DE50}" sibTransId="{3CE42535-CD4A-EC4F-A16A-F80C0CEE321F}"/>
    <dgm:cxn modelId="{376503BC-8F2B-B644-83BC-C4F4C3073E89}" srcId="{BB8A7137-5F46-3242-A429-76130A51D5C4}" destId="{FEAC397A-8542-DA43-ACCB-6EE8003BDD2C}" srcOrd="1" destOrd="0" parTransId="{EA118F45-5D5B-2E44-A3B9-01B229219BA9}" sibTransId="{1D5238B1-ED92-FB46-A53E-3189079B0FE8}"/>
    <dgm:cxn modelId="{BFA833E0-1A5A-4AD3-BAF4-664AA8A3FF49}" type="presOf" srcId="{FEAC397A-8542-DA43-ACCB-6EE8003BDD2C}" destId="{88B03EA0-0139-BF47-8333-CD0746870412}" srcOrd="0" destOrd="0" presId="urn:microsoft.com/office/officeart/2005/8/layout/balance1"/>
    <dgm:cxn modelId="{CF786CEB-ED66-4C55-8315-EF843F55AA42}" type="presOf" srcId="{2D5134D9-2643-F743-A304-18520CB78EBE}" destId="{D244516D-8DDD-F040-8C67-B0CE88E46AF8}" srcOrd="0" destOrd="0" presId="urn:microsoft.com/office/officeart/2005/8/layout/balance1"/>
    <dgm:cxn modelId="{6B289DF3-DAF9-4A47-AF03-62C7D3CD7E3C}" srcId="{BB8A7137-5F46-3242-A429-76130A51D5C4}" destId="{22ADA559-4624-F448-812A-C2BCF07627FE}" srcOrd="0" destOrd="0" parTransId="{B10DF0BA-F587-8644-A978-7F0D7B967148}" sibTransId="{7D0BA947-33EE-E24B-ACF9-4475A174FCEF}"/>
    <dgm:cxn modelId="{DA6ED507-831D-49B2-845C-80CDF3543763}" type="presParOf" srcId="{2ACB5433-D1E4-1E4E-B2C7-2DEF3F90C153}" destId="{4646EB94-DEA5-A046-A9B0-1F83011DFA55}" srcOrd="0" destOrd="0" presId="urn:microsoft.com/office/officeart/2005/8/layout/balance1"/>
    <dgm:cxn modelId="{BC1ECCD9-6E5D-4AF3-B467-9A1F5283905A}" type="presParOf" srcId="{2ACB5433-D1E4-1E4E-B2C7-2DEF3F90C153}" destId="{85D6CAC5-3558-CB4B-BA08-1F072F262E79}" srcOrd="1" destOrd="0" presId="urn:microsoft.com/office/officeart/2005/8/layout/balance1"/>
    <dgm:cxn modelId="{860D11B1-6100-4AFA-A99D-3AE6D06B9969}" type="presParOf" srcId="{85D6CAC5-3558-CB4B-BA08-1F072F262E79}" destId="{5024F701-8873-8A48-9476-71C80FCB3D47}" srcOrd="0" destOrd="0" presId="urn:microsoft.com/office/officeart/2005/8/layout/balance1"/>
    <dgm:cxn modelId="{38E2F883-D9FB-4470-9455-C45F6C7AF70F}" type="presParOf" srcId="{85D6CAC5-3558-CB4B-BA08-1F072F262E79}" destId="{80C41961-55A8-9F4C-B6AC-5116C7A72409}" srcOrd="1" destOrd="0" presId="urn:microsoft.com/office/officeart/2005/8/layout/balance1"/>
    <dgm:cxn modelId="{7402AB3D-8D78-4D3A-A1E7-31D8BB73CF0C}" type="presParOf" srcId="{2ACB5433-D1E4-1E4E-B2C7-2DEF3F90C153}" destId="{3968FBA3-5A32-A848-B7F1-12CDDC3736BC}" srcOrd="2" destOrd="0" presId="urn:microsoft.com/office/officeart/2005/8/layout/balance1"/>
    <dgm:cxn modelId="{92E7F288-64CE-44B2-9A5B-72452FBAD092}" type="presParOf" srcId="{3968FBA3-5A32-A848-B7F1-12CDDC3736BC}" destId="{D43429A0-C68C-2048-AC86-63088EA6F1C6}" srcOrd="0" destOrd="0" presId="urn:microsoft.com/office/officeart/2005/8/layout/balance1"/>
    <dgm:cxn modelId="{80E2D314-B971-4374-9BDF-5E0571CEAE4B}" type="presParOf" srcId="{3968FBA3-5A32-A848-B7F1-12CDDC3736BC}" destId="{A2E2C971-32E2-434D-B585-3FE1CCB6007F}" srcOrd="1" destOrd="0" presId="urn:microsoft.com/office/officeart/2005/8/layout/balance1"/>
    <dgm:cxn modelId="{8430FB13-8CB5-433B-97B2-99076DA0AC2A}" type="presParOf" srcId="{3968FBA3-5A32-A848-B7F1-12CDDC3736BC}" destId="{DCF93B4E-5EE5-3A4D-BF0C-A21273050587}" srcOrd="2" destOrd="0" presId="urn:microsoft.com/office/officeart/2005/8/layout/balance1"/>
    <dgm:cxn modelId="{38ECF82C-2C01-4A7C-85E0-071034337C05}" type="presParOf" srcId="{3968FBA3-5A32-A848-B7F1-12CDDC3736BC}" destId="{D2F69CFE-A574-4D45-B961-F599FD744E52}" srcOrd="3" destOrd="0" presId="urn:microsoft.com/office/officeart/2005/8/layout/balance1"/>
    <dgm:cxn modelId="{02527561-485D-4F6B-A29A-5A7E8706B789}" type="presParOf" srcId="{3968FBA3-5A32-A848-B7F1-12CDDC3736BC}" destId="{B4A50AD7-446F-C142-8A5B-367B19DFD684}" srcOrd="4" destOrd="0" presId="urn:microsoft.com/office/officeart/2005/8/layout/balance1"/>
    <dgm:cxn modelId="{9BD18B5D-A187-4A3A-B2D9-6441E434DFD6}" type="presParOf" srcId="{3968FBA3-5A32-A848-B7F1-12CDDC3736BC}" destId="{D244516D-8DDD-F040-8C67-B0CE88E46AF8}" srcOrd="5" destOrd="0" presId="urn:microsoft.com/office/officeart/2005/8/layout/balance1"/>
    <dgm:cxn modelId="{B1DC3970-8EDD-4C2B-A770-C09D3EA900FF}" type="presParOf" srcId="{3968FBA3-5A32-A848-B7F1-12CDDC3736BC}" destId="{ED2A8604-F0CE-EE46-84DE-1DD0B1D7AB1B}" srcOrd="6" destOrd="0" presId="urn:microsoft.com/office/officeart/2005/8/layout/balance1"/>
    <dgm:cxn modelId="{F6BE2AAE-A0D3-4352-B14D-97D0506FDD34}" type="presParOf" srcId="{3968FBA3-5A32-A848-B7F1-12CDDC3736BC}" destId="{88B03EA0-0139-BF47-8333-CD0746870412}" srcOrd="7" destOrd="0" presId="urn:microsoft.com/office/officeart/2005/8/layout/balance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9BB87B-F4C0-6C4B-B068-C9465C6510AB}" type="doc">
      <dgm:prSet loTypeId="urn:microsoft.com/office/officeart/2005/8/layout/hProcess9" loCatId="" qsTypeId="urn:microsoft.com/office/officeart/2005/8/quickstyle/simple4" qsCatId="simple" csTypeId="urn:microsoft.com/office/officeart/2005/8/colors/colorful3" csCatId="colorful" phldr="1"/>
      <dgm:spPr/>
    </dgm:pt>
    <dgm:pt modelId="{CD3DDF57-BB81-3747-AA3E-8580274C8FB0}">
      <dgm:prSet phldrT="[Texto]" custT="1"/>
      <dgm:spPr/>
      <dgm:t>
        <a:bodyPr/>
        <a:lstStyle/>
        <a:p>
          <a:r>
            <a:rPr lang="es-ES" sz="900"/>
            <a:t>Development finance institutions</a:t>
          </a:r>
        </a:p>
      </dgm:t>
    </dgm:pt>
    <dgm:pt modelId="{56631D28-4DE0-BB45-B2E4-FD9F2745CAE2}" type="parTrans" cxnId="{C8DADB69-9E8B-4243-8F38-C075F3BADBDF}">
      <dgm:prSet/>
      <dgm:spPr/>
      <dgm:t>
        <a:bodyPr/>
        <a:lstStyle/>
        <a:p>
          <a:endParaRPr lang="es-ES" sz="1600"/>
        </a:p>
      </dgm:t>
    </dgm:pt>
    <dgm:pt modelId="{D1166130-B546-EE43-BDF0-46315601E611}" type="sibTrans" cxnId="{C8DADB69-9E8B-4243-8F38-C075F3BADBDF}">
      <dgm:prSet/>
      <dgm:spPr/>
      <dgm:t>
        <a:bodyPr/>
        <a:lstStyle/>
        <a:p>
          <a:endParaRPr lang="es-ES" sz="1600"/>
        </a:p>
      </dgm:t>
    </dgm:pt>
    <dgm:pt modelId="{EF1407B6-47F4-A84B-A72A-2B5FDDBAA6B0}">
      <dgm:prSet phldrT="[Texto]" custT="1"/>
      <dgm:spPr/>
      <dgm:t>
        <a:bodyPr/>
        <a:lstStyle/>
        <a:p>
          <a:pPr algn="ctr"/>
          <a:r>
            <a:rPr lang="es-ES" sz="900"/>
            <a:t>Commercial financial institutions   </a:t>
          </a:r>
        </a:p>
      </dgm:t>
    </dgm:pt>
    <dgm:pt modelId="{7418A6FB-163D-474A-8E0E-7C5453FBEEC1}" type="parTrans" cxnId="{50172610-D43E-1A41-A1E7-E17D95E42FFF}">
      <dgm:prSet/>
      <dgm:spPr/>
      <dgm:t>
        <a:bodyPr/>
        <a:lstStyle/>
        <a:p>
          <a:endParaRPr lang="es-ES" sz="1600"/>
        </a:p>
      </dgm:t>
    </dgm:pt>
    <dgm:pt modelId="{2324F86A-EED1-0147-B774-E76264BC02A2}" type="sibTrans" cxnId="{50172610-D43E-1A41-A1E7-E17D95E42FFF}">
      <dgm:prSet/>
      <dgm:spPr/>
      <dgm:t>
        <a:bodyPr/>
        <a:lstStyle/>
        <a:p>
          <a:endParaRPr lang="es-ES" sz="1600"/>
        </a:p>
      </dgm:t>
    </dgm:pt>
    <dgm:pt modelId="{214CF8C4-CF2F-644A-BBAD-75E2FB15CC43}">
      <dgm:prSet custT="1"/>
      <dgm:spPr/>
      <dgm:t>
        <a:bodyPr/>
        <a:lstStyle/>
        <a:p>
          <a:r>
            <a:rPr lang="es-ES" sz="900"/>
            <a:t>Institutional investors</a:t>
          </a:r>
        </a:p>
      </dgm:t>
    </dgm:pt>
    <dgm:pt modelId="{E91DD3A3-4CAC-A548-816E-7F17365D3426}" type="parTrans" cxnId="{D8D8ACF4-5795-764E-9912-E6BC8240325E}">
      <dgm:prSet/>
      <dgm:spPr/>
      <dgm:t>
        <a:bodyPr/>
        <a:lstStyle/>
        <a:p>
          <a:endParaRPr lang="es-ES" sz="1600"/>
        </a:p>
      </dgm:t>
    </dgm:pt>
    <dgm:pt modelId="{466C9B76-088D-1944-B509-E07F8AAC3424}" type="sibTrans" cxnId="{D8D8ACF4-5795-764E-9912-E6BC8240325E}">
      <dgm:prSet/>
      <dgm:spPr/>
      <dgm:t>
        <a:bodyPr/>
        <a:lstStyle/>
        <a:p>
          <a:endParaRPr lang="es-ES" sz="1600"/>
        </a:p>
      </dgm:t>
    </dgm:pt>
    <dgm:pt modelId="{405E36CC-A68A-774F-8077-981E6F5CA6AD}">
      <dgm:prSet custT="1"/>
      <dgm:spPr/>
      <dgm:t>
        <a:bodyPr/>
        <a:lstStyle/>
        <a:p>
          <a:r>
            <a:rPr lang="es-ES" sz="900"/>
            <a:t>Corporate actors</a:t>
          </a:r>
        </a:p>
      </dgm:t>
    </dgm:pt>
    <dgm:pt modelId="{327D1487-A6D1-EF45-828D-4E789C76F067}" type="parTrans" cxnId="{91609FA0-5499-0A42-909F-2866D8093CFD}">
      <dgm:prSet/>
      <dgm:spPr/>
      <dgm:t>
        <a:bodyPr/>
        <a:lstStyle/>
        <a:p>
          <a:endParaRPr lang="es-ES" sz="1600"/>
        </a:p>
      </dgm:t>
    </dgm:pt>
    <dgm:pt modelId="{1A947514-D86B-344E-8AB6-C19526A4CA15}" type="sibTrans" cxnId="{91609FA0-5499-0A42-909F-2866D8093CFD}">
      <dgm:prSet/>
      <dgm:spPr/>
      <dgm:t>
        <a:bodyPr/>
        <a:lstStyle/>
        <a:p>
          <a:endParaRPr lang="es-ES" sz="1600"/>
        </a:p>
      </dgm:t>
    </dgm:pt>
    <dgm:pt modelId="{F3AF1473-8E87-BE4F-BE33-35C6AA373AC1}">
      <dgm:prSet custT="1"/>
      <dgm:spPr/>
      <dgm:t>
        <a:bodyPr/>
        <a:lstStyle/>
        <a:p>
          <a:r>
            <a:rPr lang="es-ES" sz="900"/>
            <a:t>Governments (including city and local governments)</a:t>
          </a:r>
        </a:p>
      </dgm:t>
    </dgm:pt>
    <dgm:pt modelId="{4BD342AD-B3DC-0C4C-B908-6085217ED313}" type="parTrans" cxnId="{BAD6D59C-69C0-E74D-AD28-00AD77F3C006}">
      <dgm:prSet/>
      <dgm:spPr/>
      <dgm:t>
        <a:bodyPr/>
        <a:lstStyle/>
        <a:p>
          <a:endParaRPr lang="es-ES"/>
        </a:p>
      </dgm:t>
    </dgm:pt>
    <dgm:pt modelId="{A15FFE6D-6473-4043-A282-46B5BB456D33}" type="sibTrans" cxnId="{BAD6D59C-69C0-E74D-AD28-00AD77F3C006}">
      <dgm:prSet/>
      <dgm:spPr/>
      <dgm:t>
        <a:bodyPr/>
        <a:lstStyle/>
        <a:p>
          <a:endParaRPr lang="es-ES"/>
        </a:p>
      </dgm:t>
    </dgm:pt>
    <dgm:pt modelId="{BFE6461C-C2CE-8046-A40A-0B286E0663A9}">
      <dgm:prSet custT="1"/>
      <dgm:spPr/>
      <dgm:t>
        <a:bodyPr/>
        <a:lstStyle/>
        <a:p>
          <a:r>
            <a:rPr lang="en-GB" sz="900"/>
            <a:t>Households</a:t>
          </a:r>
        </a:p>
      </dgm:t>
    </dgm:pt>
    <dgm:pt modelId="{CB3249F3-612E-7740-9CE6-D10D27E6FD53}" type="parTrans" cxnId="{8FAB09F5-1DE1-CF46-B0C1-1AF5257585E4}">
      <dgm:prSet/>
      <dgm:spPr/>
      <dgm:t>
        <a:bodyPr/>
        <a:lstStyle/>
        <a:p>
          <a:endParaRPr lang="en-GB"/>
        </a:p>
      </dgm:t>
    </dgm:pt>
    <dgm:pt modelId="{CE40AAA4-CA92-BB4C-AC4D-7B30D83A8BB1}" type="sibTrans" cxnId="{8FAB09F5-1DE1-CF46-B0C1-1AF5257585E4}">
      <dgm:prSet/>
      <dgm:spPr/>
      <dgm:t>
        <a:bodyPr/>
        <a:lstStyle/>
        <a:p>
          <a:endParaRPr lang="en-GB"/>
        </a:p>
      </dgm:t>
    </dgm:pt>
    <dgm:pt modelId="{CA0EC7E6-5AAF-6148-990A-EE3800B32DF1}" type="pres">
      <dgm:prSet presAssocID="{839BB87B-F4C0-6C4B-B068-C9465C6510AB}" presName="CompostProcess" presStyleCnt="0">
        <dgm:presLayoutVars>
          <dgm:dir/>
          <dgm:resizeHandles val="exact"/>
        </dgm:presLayoutVars>
      </dgm:prSet>
      <dgm:spPr/>
    </dgm:pt>
    <dgm:pt modelId="{F4C0C9BF-3E8F-5942-8A35-414CE147B1C4}" type="pres">
      <dgm:prSet presAssocID="{839BB87B-F4C0-6C4B-B068-C9465C6510AB}" presName="arrow" presStyleLbl="bgShp" presStyleIdx="0" presStyleCnt="1" custLinFactNeighborX="-129" custLinFactNeighborY="-830"/>
      <dgm:spPr/>
    </dgm:pt>
    <dgm:pt modelId="{69543F42-6733-3442-B93D-A4C2B1186EC8}" type="pres">
      <dgm:prSet presAssocID="{839BB87B-F4C0-6C4B-B068-C9465C6510AB}" presName="linearProcess" presStyleCnt="0"/>
      <dgm:spPr/>
    </dgm:pt>
    <dgm:pt modelId="{9F9823AF-6423-FF43-B949-6B75E11D6AF2}" type="pres">
      <dgm:prSet presAssocID="{F3AF1473-8E87-BE4F-BE33-35C6AA373AC1}" presName="textNode" presStyleLbl="node1" presStyleIdx="0" presStyleCnt="6">
        <dgm:presLayoutVars>
          <dgm:bulletEnabled val="1"/>
        </dgm:presLayoutVars>
      </dgm:prSet>
      <dgm:spPr/>
    </dgm:pt>
    <dgm:pt modelId="{7AEA990B-E75C-0D4B-A51E-B88E1731D350}" type="pres">
      <dgm:prSet presAssocID="{A15FFE6D-6473-4043-A282-46B5BB456D33}" presName="sibTrans" presStyleCnt="0"/>
      <dgm:spPr/>
    </dgm:pt>
    <dgm:pt modelId="{37189E3B-F23A-C94D-8616-94AF7E736B52}" type="pres">
      <dgm:prSet presAssocID="{CD3DDF57-BB81-3747-AA3E-8580274C8FB0}" presName="textNode" presStyleLbl="node1" presStyleIdx="1" presStyleCnt="6">
        <dgm:presLayoutVars>
          <dgm:bulletEnabled val="1"/>
        </dgm:presLayoutVars>
      </dgm:prSet>
      <dgm:spPr/>
    </dgm:pt>
    <dgm:pt modelId="{F525EF35-8A80-B542-A88F-2144B86F0911}" type="pres">
      <dgm:prSet presAssocID="{D1166130-B546-EE43-BDF0-46315601E611}" presName="sibTrans" presStyleCnt="0"/>
      <dgm:spPr/>
    </dgm:pt>
    <dgm:pt modelId="{F875CDC3-AAEF-6344-939C-C00B2F968D9A}" type="pres">
      <dgm:prSet presAssocID="{EF1407B6-47F4-A84B-A72A-2B5FDDBAA6B0}" presName="textNode" presStyleLbl="node1" presStyleIdx="2" presStyleCnt="6" custLinFactNeighborX="-5298">
        <dgm:presLayoutVars>
          <dgm:bulletEnabled val="1"/>
        </dgm:presLayoutVars>
      </dgm:prSet>
      <dgm:spPr/>
    </dgm:pt>
    <dgm:pt modelId="{BE36D188-58D6-1842-81B0-7816241F739B}" type="pres">
      <dgm:prSet presAssocID="{2324F86A-EED1-0147-B774-E76264BC02A2}" presName="sibTrans" presStyleCnt="0"/>
      <dgm:spPr/>
    </dgm:pt>
    <dgm:pt modelId="{CBD68AB8-044B-FC47-B566-A335A92E074D}" type="pres">
      <dgm:prSet presAssocID="{214CF8C4-CF2F-644A-BBAD-75E2FB15CC43}" presName="textNode" presStyleLbl="node1" presStyleIdx="3" presStyleCnt="6">
        <dgm:presLayoutVars>
          <dgm:bulletEnabled val="1"/>
        </dgm:presLayoutVars>
      </dgm:prSet>
      <dgm:spPr/>
    </dgm:pt>
    <dgm:pt modelId="{A2F91D5D-C414-F445-8021-BFF5AC94B9FA}" type="pres">
      <dgm:prSet presAssocID="{466C9B76-088D-1944-B509-E07F8AAC3424}" presName="sibTrans" presStyleCnt="0"/>
      <dgm:spPr/>
    </dgm:pt>
    <dgm:pt modelId="{9B089201-20D3-AA49-8767-F4B595857705}" type="pres">
      <dgm:prSet presAssocID="{405E36CC-A68A-774F-8077-981E6F5CA6AD}" presName="textNode" presStyleLbl="node1" presStyleIdx="4" presStyleCnt="6">
        <dgm:presLayoutVars>
          <dgm:bulletEnabled val="1"/>
        </dgm:presLayoutVars>
      </dgm:prSet>
      <dgm:spPr/>
    </dgm:pt>
    <dgm:pt modelId="{22BAA251-FAB5-254A-A5A3-1296DA030F11}" type="pres">
      <dgm:prSet presAssocID="{1A947514-D86B-344E-8AB6-C19526A4CA15}" presName="sibTrans" presStyleCnt="0"/>
      <dgm:spPr/>
    </dgm:pt>
    <dgm:pt modelId="{D777412C-A745-C34F-AFE9-71C0B7DD49CB}" type="pres">
      <dgm:prSet presAssocID="{BFE6461C-C2CE-8046-A40A-0B286E0663A9}" presName="textNode" presStyleLbl="node1" presStyleIdx="5" presStyleCnt="6">
        <dgm:presLayoutVars>
          <dgm:bulletEnabled val="1"/>
        </dgm:presLayoutVars>
      </dgm:prSet>
      <dgm:spPr/>
    </dgm:pt>
  </dgm:ptLst>
  <dgm:cxnLst>
    <dgm:cxn modelId="{9E15F708-5FB8-4BDA-9D90-AF49CDDF2DC6}" type="presOf" srcId="{839BB87B-F4C0-6C4B-B068-C9465C6510AB}" destId="{CA0EC7E6-5AAF-6148-990A-EE3800B32DF1}" srcOrd="0" destOrd="0" presId="urn:microsoft.com/office/officeart/2005/8/layout/hProcess9"/>
    <dgm:cxn modelId="{50172610-D43E-1A41-A1E7-E17D95E42FFF}" srcId="{839BB87B-F4C0-6C4B-B068-C9465C6510AB}" destId="{EF1407B6-47F4-A84B-A72A-2B5FDDBAA6B0}" srcOrd="2" destOrd="0" parTransId="{7418A6FB-163D-474A-8E0E-7C5453FBEEC1}" sibTransId="{2324F86A-EED1-0147-B774-E76264BC02A2}"/>
    <dgm:cxn modelId="{BCEFA944-8440-4125-B96F-9BA53BA49B3D}" type="presOf" srcId="{EF1407B6-47F4-A84B-A72A-2B5FDDBAA6B0}" destId="{F875CDC3-AAEF-6344-939C-C00B2F968D9A}" srcOrd="0" destOrd="0" presId="urn:microsoft.com/office/officeart/2005/8/layout/hProcess9"/>
    <dgm:cxn modelId="{E7035E46-AF28-410B-B608-EC7650BE21EA}" type="presOf" srcId="{405E36CC-A68A-774F-8077-981E6F5CA6AD}" destId="{9B089201-20D3-AA49-8767-F4B595857705}" srcOrd="0" destOrd="0" presId="urn:microsoft.com/office/officeart/2005/8/layout/hProcess9"/>
    <dgm:cxn modelId="{C8DADB69-9E8B-4243-8F38-C075F3BADBDF}" srcId="{839BB87B-F4C0-6C4B-B068-C9465C6510AB}" destId="{CD3DDF57-BB81-3747-AA3E-8580274C8FB0}" srcOrd="1" destOrd="0" parTransId="{56631D28-4DE0-BB45-B2E4-FD9F2745CAE2}" sibTransId="{D1166130-B546-EE43-BDF0-46315601E611}"/>
    <dgm:cxn modelId="{ABFB7581-9C1B-4791-AFFC-4292DB75BA54}" type="presOf" srcId="{CD3DDF57-BB81-3747-AA3E-8580274C8FB0}" destId="{37189E3B-F23A-C94D-8616-94AF7E736B52}" srcOrd="0" destOrd="0" presId="urn:microsoft.com/office/officeart/2005/8/layout/hProcess9"/>
    <dgm:cxn modelId="{B044A198-289D-470E-AE76-D164A6CCD00A}" type="presOf" srcId="{214CF8C4-CF2F-644A-BBAD-75E2FB15CC43}" destId="{CBD68AB8-044B-FC47-B566-A335A92E074D}" srcOrd="0" destOrd="0" presId="urn:microsoft.com/office/officeart/2005/8/layout/hProcess9"/>
    <dgm:cxn modelId="{BAD6D59C-69C0-E74D-AD28-00AD77F3C006}" srcId="{839BB87B-F4C0-6C4B-B068-C9465C6510AB}" destId="{F3AF1473-8E87-BE4F-BE33-35C6AA373AC1}" srcOrd="0" destOrd="0" parTransId="{4BD342AD-B3DC-0C4C-B908-6085217ED313}" sibTransId="{A15FFE6D-6473-4043-A282-46B5BB456D33}"/>
    <dgm:cxn modelId="{37C0089F-EFF7-44F5-A1BA-637AC94F9122}" type="presOf" srcId="{F3AF1473-8E87-BE4F-BE33-35C6AA373AC1}" destId="{9F9823AF-6423-FF43-B949-6B75E11D6AF2}" srcOrd="0" destOrd="0" presId="urn:microsoft.com/office/officeart/2005/8/layout/hProcess9"/>
    <dgm:cxn modelId="{91609FA0-5499-0A42-909F-2866D8093CFD}" srcId="{839BB87B-F4C0-6C4B-B068-C9465C6510AB}" destId="{405E36CC-A68A-774F-8077-981E6F5CA6AD}" srcOrd="4" destOrd="0" parTransId="{327D1487-A6D1-EF45-828D-4E789C76F067}" sibTransId="{1A947514-D86B-344E-8AB6-C19526A4CA15}"/>
    <dgm:cxn modelId="{7A4FDEAF-B8B3-42DC-903F-D9BAD0678610}" type="presOf" srcId="{BFE6461C-C2CE-8046-A40A-0B286E0663A9}" destId="{D777412C-A745-C34F-AFE9-71C0B7DD49CB}" srcOrd="0" destOrd="0" presId="urn:microsoft.com/office/officeart/2005/8/layout/hProcess9"/>
    <dgm:cxn modelId="{D8D8ACF4-5795-764E-9912-E6BC8240325E}" srcId="{839BB87B-F4C0-6C4B-B068-C9465C6510AB}" destId="{214CF8C4-CF2F-644A-BBAD-75E2FB15CC43}" srcOrd="3" destOrd="0" parTransId="{E91DD3A3-4CAC-A548-816E-7F17365D3426}" sibTransId="{466C9B76-088D-1944-B509-E07F8AAC3424}"/>
    <dgm:cxn modelId="{8FAB09F5-1DE1-CF46-B0C1-1AF5257585E4}" srcId="{839BB87B-F4C0-6C4B-B068-C9465C6510AB}" destId="{BFE6461C-C2CE-8046-A40A-0B286E0663A9}" srcOrd="5" destOrd="0" parTransId="{CB3249F3-612E-7740-9CE6-D10D27E6FD53}" sibTransId="{CE40AAA4-CA92-BB4C-AC4D-7B30D83A8BB1}"/>
    <dgm:cxn modelId="{B2113E32-A303-406D-A274-8BB9FEB6AF6C}" type="presParOf" srcId="{CA0EC7E6-5AAF-6148-990A-EE3800B32DF1}" destId="{F4C0C9BF-3E8F-5942-8A35-414CE147B1C4}" srcOrd="0" destOrd="0" presId="urn:microsoft.com/office/officeart/2005/8/layout/hProcess9"/>
    <dgm:cxn modelId="{B2B3762C-5DF9-4549-8816-7E987AE1000B}" type="presParOf" srcId="{CA0EC7E6-5AAF-6148-990A-EE3800B32DF1}" destId="{69543F42-6733-3442-B93D-A4C2B1186EC8}" srcOrd="1" destOrd="0" presId="urn:microsoft.com/office/officeart/2005/8/layout/hProcess9"/>
    <dgm:cxn modelId="{4E3C159F-C1FE-4E9C-9E32-86468D4C5CE0}" type="presParOf" srcId="{69543F42-6733-3442-B93D-A4C2B1186EC8}" destId="{9F9823AF-6423-FF43-B949-6B75E11D6AF2}" srcOrd="0" destOrd="0" presId="urn:microsoft.com/office/officeart/2005/8/layout/hProcess9"/>
    <dgm:cxn modelId="{CBD1711D-8936-4D45-8828-87B67676240B}" type="presParOf" srcId="{69543F42-6733-3442-B93D-A4C2B1186EC8}" destId="{7AEA990B-E75C-0D4B-A51E-B88E1731D350}" srcOrd="1" destOrd="0" presId="urn:microsoft.com/office/officeart/2005/8/layout/hProcess9"/>
    <dgm:cxn modelId="{8DD13ABA-F402-436F-8381-8EFD491AC3EF}" type="presParOf" srcId="{69543F42-6733-3442-B93D-A4C2B1186EC8}" destId="{37189E3B-F23A-C94D-8616-94AF7E736B52}" srcOrd="2" destOrd="0" presId="urn:microsoft.com/office/officeart/2005/8/layout/hProcess9"/>
    <dgm:cxn modelId="{860AF891-ABA6-4193-B53A-13C4AE693C24}" type="presParOf" srcId="{69543F42-6733-3442-B93D-A4C2B1186EC8}" destId="{F525EF35-8A80-B542-A88F-2144B86F0911}" srcOrd="3" destOrd="0" presId="urn:microsoft.com/office/officeart/2005/8/layout/hProcess9"/>
    <dgm:cxn modelId="{5B0EE9FD-5D99-4A19-8D37-F250C9ECB550}" type="presParOf" srcId="{69543F42-6733-3442-B93D-A4C2B1186EC8}" destId="{F875CDC3-AAEF-6344-939C-C00B2F968D9A}" srcOrd="4" destOrd="0" presId="urn:microsoft.com/office/officeart/2005/8/layout/hProcess9"/>
    <dgm:cxn modelId="{FA4A0029-7303-4F16-8326-F194BF22054B}" type="presParOf" srcId="{69543F42-6733-3442-B93D-A4C2B1186EC8}" destId="{BE36D188-58D6-1842-81B0-7816241F739B}" srcOrd="5" destOrd="0" presId="urn:microsoft.com/office/officeart/2005/8/layout/hProcess9"/>
    <dgm:cxn modelId="{5B6C0700-39F3-4341-8AE2-56D0B05E3045}" type="presParOf" srcId="{69543F42-6733-3442-B93D-A4C2B1186EC8}" destId="{CBD68AB8-044B-FC47-B566-A335A92E074D}" srcOrd="6" destOrd="0" presId="urn:microsoft.com/office/officeart/2005/8/layout/hProcess9"/>
    <dgm:cxn modelId="{BE347A48-A258-4D2A-9D62-EB1870820097}" type="presParOf" srcId="{69543F42-6733-3442-B93D-A4C2B1186EC8}" destId="{A2F91D5D-C414-F445-8021-BFF5AC94B9FA}" srcOrd="7" destOrd="0" presId="urn:microsoft.com/office/officeart/2005/8/layout/hProcess9"/>
    <dgm:cxn modelId="{E74DDDE1-F7E2-48E1-B8BA-8674C36A6409}" type="presParOf" srcId="{69543F42-6733-3442-B93D-A4C2B1186EC8}" destId="{9B089201-20D3-AA49-8767-F4B595857705}" srcOrd="8" destOrd="0" presId="urn:microsoft.com/office/officeart/2005/8/layout/hProcess9"/>
    <dgm:cxn modelId="{72863C1E-7304-4872-ADF9-698B4F513B1E}" type="presParOf" srcId="{69543F42-6733-3442-B93D-A4C2B1186EC8}" destId="{22BAA251-FAB5-254A-A5A3-1296DA030F11}" srcOrd="9" destOrd="0" presId="urn:microsoft.com/office/officeart/2005/8/layout/hProcess9"/>
    <dgm:cxn modelId="{E0187B72-9CE9-4BC4-B395-99FD23F5C598}" type="presParOf" srcId="{69543F42-6733-3442-B93D-A4C2B1186EC8}" destId="{D777412C-A745-C34F-AFE9-71C0B7DD49CB}" srcOrd="10"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24F701-8873-8A48-9476-71C80FCB3D47}">
      <dsp:nvSpPr>
        <dsp:cNvPr id="0" name=""/>
        <dsp:cNvSpPr/>
      </dsp:nvSpPr>
      <dsp:spPr>
        <a:xfrm>
          <a:off x="3921912" y="396172"/>
          <a:ext cx="993885" cy="1030575"/>
        </a:xfrm>
        <a:prstGeom prst="roundRect">
          <a:avLst>
            <a:gd name="adj" fmla="val 1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t>Scale down financing for infrastructure and activities that are high in emissions and/or undermine resilience</a:t>
          </a:r>
        </a:p>
      </dsp:txBody>
      <dsp:txXfrm>
        <a:off x="3951022" y="425282"/>
        <a:ext cx="935665" cy="972355"/>
      </dsp:txXfrm>
    </dsp:sp>
    <dsp:sp modelId="{80C41961-55A8-9F4C-B6AC-5116C7A72409}">
      <dsp:nvSpPr>
        <dsp:cNvPr id="0" name=""/>
        <dsp:cNvSpPr/>
      </dsp:nvSpPr>
      <dsp:spPr>
        <a:xfrm>
          <a:off x="0" y="584494"/>
          <a:ext cx="1038206" cy="832826"/>
        </a:xfrm>
        <a:prstGeom prst="roundRect">
          <a:avLst>
            <a:gd name="adj" fmla="val 10000"/>
          </a:avLst>
        </a:prstGeom>
        <a:solidFill>
          <a:schemeClr val="accent4">
            <a:tint val="40000"/>
            <a:alpha val="90000"/>
            <a:hueOff val="142704"/>
            <a:satOff val="4787"/>
            <a:lumOff val="817"/>
            <a:alphaOff val="0"/>
          </a:schemeClr>
        </a:solidFill>
        <a:ln w="9525" cap="flat" cmpd="sng" algn="ctr">
          <a:solidFill>
            <a:schemeClr val="accent4">
              <a:tint val="40000"/>
              <a:alpha val="90000"/>
              <a:hueOff val="142704"/>
              <a:satOff val="4787"/>
              <a:lumOff val="81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a:t>Scale up climate financial flows to be consistent with the Paris Agreement</a:t>
          </a:r>
        </a:p>
      </dsp:txBody>
      <dsp:txXfrm>
        <a:off x="24393" y="608887"/>
        <a:ext cx="989420" cy="784040"/>
      </dsp:txXfrm>
    </dsp:sp>
    <dsp:sp modelId="{A2E2C971-32E2-434D-B585-3FE1CCB6007F}">
      <dsp:nvSpPr>
        <dsp:cNvPr id="0" name=""/>
        <dsp:cNvSpPr/>
      </dsp:nvSpPr>
      <dsp:spPr>
        <a:xfrm>
          <a:off x="2241605" y="2564769"/>
          <a:ext cx="432586" cy="432586"/>
        </a:xfrm>
        <a:prstGeom prst="triangle">
          <a:avLst/>
        </a:prstGeom>
        <a:solidFill>
          <a:schemeClr val="accent4">
            <a:tint val="40000"/>
            <a:alpha val="90000"/>
            <a:hueOff val="285408"/>
            <a:satOff val="9575"/>
            <a:lumOff val="1635"/>
            <a:alphaOff val="0"/>
          </a:schemeClr>
        </a:solidFill>
        <a:ln w="9525" cap="flat" cmpd="sng" algn="ctr">
          <a:solidFill>
            <a:schemeClr val="accent4">
              <a:tint val="40000"/>
              <a:alpha val="90000"/>
              <a:hueOff val="285408"/>
              <a:satOff val="9575"/>
              <a:lumOff val="1635"/>
              <a:alphaOff val="0"/>
            </a:schemeClr>
          </a:solidFill>
          <a:prstDash val="solid"/>
        </a:ln>
        <a:effectLst/>
      </dsp:spPr>
      <dsp:style>
        <a:lnRef idx="1">
          <a:scrgbClr r="0" g="0" b="0"/>
        </a:lnRef>
        <a:fillRef idx="1">
          <a:scrgbClr r="0" g="0" b="0"/>
        </a:fillRef>
        <a:effectRef idx="0">
          <a:scrgbClr r="0" g="0" b="0"/>
        </a:effectRef>
        <a:fontRef idx="minor"/>
      </dsp:style>
    </dsp:sp>
    <dsp:sp modelId="{DCF93B4E-5EE5-3A4D-BF0C-A21273050587}">
      <dsp:nvSpPr>
        <dsp:cNvPr id="0" name=""/>
        <dsp:cNvSpPr/>
      </dsp:nvSpPr>
      <dsp:spPr>
        <a:xfrm rot="240000">
          <a:off x="1159744" y="2379401"/>
          <a:ext cx="2596308" cy="181551"/>
        </a:xfrm>
        <a:prstGeom prst="rect">
          <a:avLst/>
        </a:prstGeom>
        <a:solidFill>
          <a:schemeClr val="accent4">
            <a:tint val="40000"/>
            <a:alpha val="90000"/>
            <a:hueOff val="428112"/>
            <a:satOff val="14362"/>
            <a:lumOff val="2452"/>
            <a:alphaOff val="0"/>
          </a:schemeClr>
        </a:solidFill>
        <a:ln w="9525" cap="flat" cmpd="sng" algn="ctr">
          <a:solidFill>
            <a:schemeClr val="accent4">
              <a:tint val="40000"/>
              <a:alpha val="90000"/>
              <a:hueOff val="428112"/>
              <a:satOff val="14362"/>
              <a:lumOff val="2452"/>
              <a:alphaOff val="0"/>
            </a:schemeClr>
          </a:solidFill>
          <a:prstDash val="solid"/>
        </a:ln>
        <a:effectLst/>
      </dsp:spPr>
      <dsp:style>
        <a:lnRef idx="1">
          <a:scrgbClr r="0" g="0" b="0"/>
        </a:lnRef>
        <a:fillRef idx="1">
          <a:scrgbClr r="0" g="0" b="0"/>
        </a:fillRef>
        <a:effectRef idx="0">
          <a:scrgbClr r="0" g="0" b="0"/>
        </a:effectRef>
        <a:fontRef idx="minor"/>
      </dsp:style>
    </dsp:sp>
    <dsp:sp modelId="{D2F69CFE-A574-4D45-B961-F599FD744E52}">
      <dsp:nvSpPr>
        <dsp:cNvPr id="0" name=""/>
        <dsp:cNvSpPr/>
      </dsp:nvSpPr>
      <dsp:spPr>
        <a:xfrm rot="240000">
          <a:off x="2718602" y="1925477"/>
          <a:ext cx="1035902" cy="482624"/>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b="1" kern="1200"/>
            <a:t>Losses from natural catastrophes </a:t>
          </a:r>
        </a:p>
        <a:p>
          <a:pPr marL="0" lvl="0" indent="0" algn="ctr" defTabSz="311150">
            <a:lnSpc>
              <a:spcPct val="90000"/>
            </a:lnSpc>
            <a:spcBef>
              <a:spcPct val="0"/>
            </a:spcBef>
            <a:spcAft>
              <a:spcPct val="35000"/>
            </a:spcAft>
            <a:buNone/>
          </a:pPr>
          <a:r>
            <a:rPr lang="es-ES" sz="700" b="1" kern="1200"/>
            <a:t>USD 339 billion</a:t>
          </a:r>
        </a:p>
      </dsp:txBody>
      <dsp:txXfrm>
        <a:off x="2742162" y="1949037"/>
        <a:ext cx="988782" cy="435504"/>
      </dsp:txXfrm>
    </dsp:sp>
    <dsp:sp modelId="{B4A50AD7-446F-C142-8A5B-367B19DFD684}">
      <dsp:nvSpPr>
        <dsp:cNvPr id="0" name=""/>
        <dsp:cNvSpPr/>
      </dsp:nvSpPr>
      <dsp:spPr>
        <a:xfrm rot="240000">
          <a:off x="2756093" y="1406374"/>
          <a:ext cx="1035902" cy="482624"/>
        </a:xfrm>
        <a:prstGeom prst="roundRect">
          <a:avLst/>
        </a:prstGeom>
        <a:gradFill rotWithShape="0">
          <a:gsLst>
            <a:gs pos="0">
              <a:schemeClr val="accent4">
                <a:hueOff val="89968"/>
                <a:satOff val="4345"/>
                <a:lumOff val="2451"/>
                <a:alphaOff val="0"/>
                <a:shade val="51000"/>
                <a:satMod val="130000"/>
              </a:schemeClr>
            </a:gs>
            <a:gs pos="80000">
              <a:schemeClr val="accent4">
                <a:hueOff val="89968"/>
                <a:satOff val="4345"/>
                <a:lumOff val="2451"/>
                <a:alphaOff val="0"/>
                <a:shade val="93000"/>
                <a:satMod val="130000"/>
              </a:schemeClr>
            </a:gs>
            <a:gs pos="100000">
              <a:schemeClr val="accent4">
                <a:hueOff val="89968"/>
                <a:satOff val="4345"/>
                <a:lumOff val="245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b="1" kern="1200"/>
            <a:t>Fossil fuel subsidies - USD 472 billion</a:t>
          </a:r>
        </a:p>
      </dsp:txBody>
      <dsp:txXfrm>
        <a:off x="2779653" y="1429934"/>
        <a:ext cx="988782" cy="435504"/>
      </dsp:txXfrm>
    </dsp:sp>
    <dsp:sp modelId="{D244516D-8DDD-F040-8C67-B0CE88E46AF8}">
      <dsp:nvSpPr>
        <dsp:cNvPr id="0" name=""/>
        <dsp:cNvSpPr/>
      </dsp:nvSpPr>
      <dsp:spPr>
        <a:xfrm rot="240000">
          <a:off x="2793584" y="898807"/>
          <a:ext cx="1035902" cy="482624"/>
        </a:xfrm>
        <a:prstGeom prst="roundRect">
          <a:avLst/>
        </a:prstGeom>
        <a:gradFill rotWithShape="0">
          <a:gsLst>
            <a:gs pos="0">
              <a:schemeClr val="accent4">
                <a:hueOff val="179936"/>
                <a:satOff val="8690"/>
                <a:lumOff val="4901"/>
                <a:alphaOff val="0"/>
                <a:shade val="51000"/>
                <a:satMod val="130000"/>
              </a:schemeClr>
            </a:gs>
            <a:gs pos="80000">
              <a:schemeClr val="accent4">
                <a:hueOff val="179936"/>
                <a:satOff val="8690"/>
                <a:lumOff val="4901"/>
                <a:alphaOff val="0"/>
                <a:shade val="93000"/>
                <a:satMod val="130000"/>
              </a:schemeClr>
            </a:gs>
            <a:gs pos="100000">
              <a:schemeClr val="accent4">
                <a:hueOff val="179936"/>
                <a:satOff val="8690"/>
                <a:lumOff val="490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b="1" kern="1200"/>
            <a:t>Fossil fuel investment USD 977 billion</a:t>
          </a:r>
        </a:p>
      </dsp:txBody>
      <dsp:txXfrm>
        <a:off x="2817144" y="922367"/>
        <a:ext cx="988782" cy="435504"/>
      </dsp:txXfrm>
    </dsp:sp>
    <dsp:sp modelId="{ED2A8604-F0CE-EE46-84DE-1DD0B1D7AB1B}">
      <dsp:nvSpPr>
        <dsp:cNvPr id="0" name=""/>
        <dsp:cNvSpPr/>
      </dsp:nvSpPr>
      <dsp:spPr>
        <a:xfrm rot="240000">
          <a:off x="1233390" y="1821657"/>
          <a:ext cx="1035902" cy="482624"/>
        </a:xfrm>
        <a:prstGeom prst="roundRect">
          <a:avLst/>
        </a:prstGeom>
        <a:gradFill rotWithShape="0">
          <a:gsLst>
            <a:gs pos="0">
              <a:schemeClr val="accent4">
                <a:hueOff val="269905"/>
                <a:satOff val="13035"/>
                <a:lumOff val="7352"/>
                <a:alphaOff val="0"/>
                <a:shade val="51000"/>
                <a:satMod val="130000"/>
              </a:schemeClr>
            </a:gs>
            <a:gs pos="80000">
              <a:schemeClr val="accent4">
                <a:hueOff val="269905"/>
                <a:satOff val="13035"/>
                <a:lumOff val="7352"/>
                <a:alphaOff val="0"/>
                <a:shade val="93000"/>
                <a:satMod val="130000"/>
              </a:schemeClr>
            </a:gs>
            <a:gs pos="100000">
              <a:schemeClr val="accent4">
                <a:hueOff val="269905"/>
                <a:satOff val="13035"/>
                <a:lumOff val="735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b="1" kern="1200"/>
            <a:t> Out of which USD 48.7 multilateral and bilateral financing and only USD 14.5 billion for adaptation</a:t>
          </a:r>
        </a:p>
      </dsp:txBody>
      <dsp:txXfrm>
        <a:off x="1256950" y="1845217"/>
        <a:ext cx="988782" cy="435504"/>
      </dsp:txXfrm>
    </dsp:sp>
    <dsp:sp modelId="{88B03EA0-0139-BF47-8333-CD0746870412}">
      <dsp:nvSpPr>
        <dsp:cNvPr id="0" name=""/>
        <dsp:cNvSpPr/>
      </dsp:nvSpPr>
      <dsp:spPr>
        <a:xfrm rot="240000">
          <a:off x="1270881" y="1302554"/>
          <a:ext cx="1035902" cy="482624"/>
        </a:xfrm>
        <a:prstGeom prst="roundRect">
          <a:avLst/>
        </a:prstGeom>
        <a:gradFill rotWithShape="0">
          <a:gsLst>
            <a:gs pos="0">
              <a:schemeClr val="accent4">
                <a:hueOff val="359873"/>
                <a:satOff val="17380"/>
                <a:lumOff val="9803"/>
                <a:alphaOff val="0"/>
                <a:shade val="51000"/>
                <a:satMod val="130000"/>
              </a:schemeClr>
            </a:gs>
            <a:gs pos="80000">
              <a:schemeClr val="accent4">
                <a:hueOff val="359873"/>
                <a:satOff val="17380"/>
                <a:lumOff val="9803"/>
                <a:alphaOff val="0"/>
                <a:shade val="93000"/>
                <a:satMod val="130000"/>
              </a:schemeClr>
            </a:gs>
            <a:gs pos="100000">
              <a:schemeClr val="accent4">
                <a:hueOff val="359873"/>
                <a:satOff val="17380"/>
                <a:lumOff val="980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ES" sz="700" b="1" kern="1200"/>
            <a:t>Climate finance flows </a:t>
          </a:r>
        </a:p>
        <a:p>
          <a:pPr marL="0" lvl="0" indent="0" algn="ctr" defTabSz="311150">
            <a:lnSpc>
              <a:spcPct val="90000"/>
            </a:lnSpc>
            <a:spcBef>
              <a:spcPct val="0"/>
            </a:spcBef>
            <a:spcAft>
              <a:spcPct val="35000"/>
            </a:spcAft>
            <a:buNone/>
          </a:pPr>
          <a:r>
            <a:rPr lang="es-ES" sz="700" b="1" kern="1200"/>
            <a:t>USD 775 billion</a:t>
          </a:r>
        </a:p>
      </dsp:txBody>
      <dsp:txXfrm>
        <a:off x="1294441" y="1326114"/>
        <a:ext cx="988782" cy="4355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C0C9BF-3E8F-5942-8A35-414CE147B1C4}">
      <dsp:nvSpPr>
        <dsp:cNvPr id="0" name=""/>
        <dsp:cNvSpPr/>
      </dsp:nvSpPr>
      <dsp:spPr>
        <a:xfrm>
          <a:off x="413428" y="0"/>
          <a:ext cx="4755041" cy="2263140"/>
        </a:xfrm>
        <a:prstGeom prst="rightArrow">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F9823AF-6423-FF43-B949-6B75E11D6AF2}">
      <dsp:nvSpPr>
        <dsp:cNvPr id="0" name=""/>
        <dsp:cNvSpPr/>
      </dsp:nvSpPr>
      <dsp:spPr>
        <a:xfrm>
          <a:off x="68" y="678942"/>
          <a:ext cx="818638" cy="905256"/>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Governments (including city and local governments)</a:t>
          </a:r>
        </a:p>
      </dsp:txBody>
      <dsp:txXfrm>
        <a:off x="40031" y="718905"/>
        <a:ext cx="738712" cy="825330"/>
      </dsp:txXfrm>
    </dsp:sp>
    <dsp:sp modelId="{37189E3B-F23A-C94D-8616-94AF7E736B52}">
      <dsp:nvSpPr>
        <dsp:cNvPr id="0" name=""/>
        <dsp:cNvSpPr/>
      </dsp:nvSpPr>
      <dsp:spPr>
        <a:xfrm>
          <a:off x="955146" y="678942"/>
          <a:ext cx="818638" cy="905256"/>
        </a:xfrm>
        <a:prstGeom prst="roundRect">
          <a:avLst/>
        </a:prstGeom>
        <a:gradFill rotWithShape="0">
          <a:gsLst>
            <a:gs pos="0">
              <a:schemeClr val="accent3">
                <a:hueOff val="292024"/>
                <a:satOff val="-5433"/>
                <a:lumOff val="-1647"/>
                <a:alphaOff val="0"/>
                <a:shade val="51000"/>
                <a:satMod val="130000"/>
              </a:schemeClr>
            </a:gs>
            <a:gs pos="80000">
              <a:schemeClr val="accent3">
                <a:hueOff val="292024"/>
                <a:satOff val="-5433"/>
                <a:lumOff val="-1647"/>
                <a:alphaOff val="0"/>
                <a:shade val="93000"/>
                <a:satMod val="130000"/>
              </a:schemeClr>
            </a:gs>
            <a:gs pos="100000">
              <a:schemeClr val="accent3">
                <a:hueOff val="292024"/>
                <a:satOff val="-5433"/>
                <a:lumOff val="-164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Development finance institutions</a:t>
          </a:r>
        </a:p>
      </dsp:txBody>
      <dsp:txXfrm>
        <a:off x="995109" y="718905"/>
        <a:ext cx="738712" cy="825330"/>
      </dsp:txXfrm>
    </dsp:sp>
    <dsp:sp modelId="{F875CDC3-AAEF-6344-939C-C00B2F968D9A}">
      <dsp:nvSpPr>
        <dsp:cNvPr id="0" name=""/>
        <dsp:cNvSpPr/>
      </dsp:nvSpPr>
      <dsp:spPr>
        <a:xfrm>
          <a:off x="1902996" y="678942"/>
          <a:ext cx="818638" cy="905256"/>
        </a:xfrm>
        <a:prstGeom prst="roundRect">
          <a:avLst/>
        </a:prstGeom>
        <a:gradFill rotWithShape="0">
          <a:gsLst>
            <a:gs pos="0">
              <a:schemeClr val="accent3">
                <a:hueOff val="584048"/>
                <a:satOff val="-10866"/>
                <a:lumOff val="-3294"/>
                <a:alphaOff val="0"/>
                <a:shade val="51000"/>
                <a:satMod val="130000"/>
              </a:schemeClr>
            </a:gs>
            <a:gs pos="80000">
              <a:schemeClr val="accent3">
                <a:hueOff val="584048"/>
                <a:satOff val="-10866"/>
                <a:lumOff val="-3294"/>
                <a:alphaOff val="0"/>
                <a:shade val="93000"/>
                <a:satMod val="130000"/>
              </a:schemeClr>
            </a:gs>
            <a:gs pos="100000">
              <a:schemeClr val="accent3">
                <a:hueOff val="584048"/>
                <a:satOff val="-10866"/>
                <a:lumOff val="-329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Commercial financial institutions   </a:t>
          </a:r>
        </a:p>
      </dsp:txBody>
      <dsp:txXfrm>
        <a:off x="1942959" y="718905"/>
        <a:ext cx="738712" cy="825330"/>
      </dsp:txXfrm>
    </dsp:sp>
    <dsp:sp modelId="{CBD68AB8-044B-FC47-B566-A335A92E074D}">
      <dsp:nvSpPr>
        <dsp:cNvPr id="0" name=""/>
        <dsp:cNvSpPr/>
      </dsp:nvSpPr>
      <dsp:spPr>
        <a:xfrm>
          <a:off x="2865302" y="678942"/>
          <a:ext cx="818638" cy="905256"/>
        </a:xfrm>
        <a:prstGeom prst="roundRect">
          <a:avLst/>
        </a:prstGeom>
        <a:gradFill rotWithShape="0">
          <a:gsLst>
            <a:gs pos="0">
              <a:schemeClr val="accent3">
                <a:hueOff val="876072"/>
                <a:satOff val="-16298"/>
                <a:lumOff val="-4941"/>
                <a:alphaOff val="0"/>
                <a:shade val="51000"/>
                <a:satMod val="130000"/>
              </a:schemeClr>
            </a:gs>
            <a:gs pos="80000">
              <a:schemeClr val="accent3">
                <a:hueOff val="876072"/>
                <a:satOff val="-16298"/>
                <a:lumOff val="-4941"/>
                <a:alphaOff val="0"/>
                <a:shade val="93000"/>
                <a:satMod val="130000"/>
              </a:schemeClr>
            </a:gs>
            <a:gs pos="100000">
              <a:schemeClr val="accent3">
                <a:hueOff val="876072"/>
                <a:satOff val="-16298"/>
                <a:lumOff val="-494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Institutional investors</a:t>
          </a:r>
        </a:p>
      </dsp:txBody>
      <dsp:txXfrm>
        <a:off x="2905265" y="718905"/>
        <a:ext cx="738712" cy="825330"/>
      </dsp:txXfrm>
    </dsp:sp>
    <dsp:sp modelId="{9B089201-20D3-AA49-8767-F4B595857705}">
      <dsp:nvSpPr>
        <dsp:cNvPr id="0" name=""/>
        <dsp:cNvSpPr/>
      </dsp:nvSpPr>
      <dsp:spPr>
        <a:xfrm>
          <a:off x="3820381" y="678942"/>
          <a:ext cx="818638" cy="905256"/>
        </a:xfrm>
        <a:prstGeom prst="roundRect">
          <a:avLst/>
        </a:prstGeom>
        <a:gradFill rotWithShape="0">
          <a:gsLst>
            <a:gs pos="0">
              <a:schemeClr val="accent3">
                <a:hueOff val="1168096"/>
                <a:satOff val="-21731"/>
                <a:lumOff val="-6588"/>
                <a:alphaOff val="0"/>
                <a:shade val="51000"/>
                <a:satMod val="130000"/>
              </a:schemeClr>
            </a:gs>
            <a:gs pos="80000">
              <a:schemeClr val="accent3">
                <a:hueOff val="1168096"/>
                <a:satOff val="-21731"/>
                <a:lumOff val="-6588"/>
                <a:alphaOff val="0"/>
                <a:shade val="93000"/>
                <a:satMod val="130000"/>
              </a:schemeClr>
            </a:gs>
            <a:gs pos="100000">
              <a:schemeClr val="accent3">
                <a:hueOff val="1168096"/>
                <a:satOff val="-21731"/>
                <a:lumOff val="-658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kern="1200"/>
            <a:t>Corporate actors</a:t>
          </a:r>
        </a:p>
      </dsp:txBody>
      <dsp:txXfrm>
        <a:off x="3860344" y="718905"/>
        <a:ext cx="738712" cy="825330"/>
      </dsp:txXfrm>
    </dsp:sp>
    <dsp:sp modelId="{D777412C-A745-C34F-AFE9-71C0B7DD49CB}">
      <dsp:nvSpPr>
        <dsp:cNvPr id="0" name=""/>
        <dsp:cNvSpPr/>
      </dsp:nvSpPr>
      <dsp:spPr>
        <a:xfrm>
          <a:off x="4775459" y="678942"/>
          <a:ext cx="818638" cy="905256"/>
        </a:xfrm>
        <a:prstGeom prst="roundRect">
          <a:avLst/>
        </a:prstGeom>
        <a:gradFill rotWithShape="0">
          <a:gsLst>
            <a:gs pos="0">
              <a:schemeClr val="accent3">
                <a:hueOff val="1460120"/>
                <a:satOff val="-27164"/>
                <a:lumOff val="-8235"/>
                <a:alphaOff val="0"/>
                <a:shade val="51000"/>
                <a:satMod val="130000"/>
              </a:schemeClr>
            </a:gs>
            <a:gs pos="80000">
              <a:schemeClr val="accent3">
                <a:hueOff val="1460120"/>
                <a:satOff val="-27164"/>
                <a:lumOff val="-8235"/>
                <a:alphaOff val="0"/>
                <a:shade val="93000"/>
                <a:satMod val="130000"/>
              </a:schemeClr>
            </a:gs>
            <a:gs pos="100000">
              <a:schemeClr val="accent3">
                <a:hueOff val="1460120"/>
                <a:satOff val="-27164"/>
                <a:lumOff val="-823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Households</a:t>
          </a:r>
        </a:p>
      </dsp:txBody>
      <dsp:txXfrm>
        <a:off x="4815422" y="718905"/>
        <a:ext cx="738712" cy="825330"/>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6920f5ab-9618-4f6e-a652-41e6f8b811ff">2021</Year>
    <UNF3CSPThematicAreas xmlns="6920f5ab-9618-4f6e-a652-41e6f8b811ff"/>
    <UNF3CSPEntity xmlns="cd1c2313-39f8-4f5d-8e14-5f0ea1c36a8a">Chile</UNF3CSPEntity>
    <UNF3CSPInvitationToSubmit xmlns="cd1c2313-39f8-4f5d-8e14-5f0ea1c36a8a">1356</UNF3CSPInvitationToSubmit>
    <UNF3CSPSubmissionDate xmlns="6920f5ab-9618-4f6e-a652-41e6f8b811ff">2022-04-29T16:49:00+00:00</UNF3CSPSubmissionDate>
    <UNF3CSPEntityType xmlns="6920f5ab-9618-4f6e-a652-41e6f8b811ff">Party</UNF3CSPEntityType>
    <Issue xmlns="6920f5ab-9618-4f6e-a652-41e6f8b811ff">Parties, operating entities of the Financial Mechanism, international financial institutions and other stakeholders in the financial sector are invited to submit views regarding ways to achieve Article 2, paragraph 1(c),of the Paris Agreement, including options for approaches and guidelines for implementation, by 30 April 2022 and requests the Standing Committee on Finance to submit a synthesis for consideration by the Conference of the Parties serving as the meeting of the Parties to the Paris Agreement at its fourth session (November 2022)</Issue>
    <UNF3CSPDescription xmlns="cd1c2313-39f8-4f5d-8e14-5f0ea1c36a8a">AILAC</UNF3CSPDescription>
    <Date_x0020_Of_x0020_Call xmlns="6920f5ab-9618-4f6e-a652-41e6f8b811ff">2022-04-29T22:00:00+00:00</Date_x0020_Of_x0020_Call>
    <UNF3CSPLanguage xmlns="cd1c2313-39f8-4f5d-8e14-5f0ea1c36a8a">English</UNF3CSPLanguage>
    <Mandate xmlns="6920f5ab-9618-4f6e-a652-41e6f8b811ff">Decision 10/CMA.3, para. 2</Mandate>
    <Session xmlns="6920f5ab-9618-4f6e-a652-41e6f8b811ff">CMA 4</Session>
    <SourceItemID xmlns="6920f5ab-9618-4f6e-a652-41e6f8b811ff" xsi:nil="true"/>
    <Theme xmlns="6920f5ab-9618-4f6e-a652-41e6f8b811ff" xsi:nil="true"/>
    <UNF3CSPBody xmlns="6920f5ab-9618-4f6e-a652-41e6f8b811ff">CMA</UNF3CSPBod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SubmissionFile" ma:contentTypeID="0x01010060B37736DA6C3A4EA53353A2B9AE5F5400350996634F87D6408857E55B65F74000" ma:contentTypeVersion="18" ma:contentTypeDescription="My Content Type" ma:contentTypeScope="" ma:versionID="70c6de1913ea3b9146405757d7610d39">
  <xsd:schema xmlns:xsd="http://www.w3.org/2001/XMLSchema" xmlns:xs="http://www.w3.org/2001/XMLSchema" xmlns:p="http://schemas.microsoft.com/office/2006/metadata/properties" xmlns:ns2="cd1c2313-39f8-4f5d-8e14-5f0ea1c36a8a" xmlns:ns3="6920f5ab-9618-4f6e-a652-41e6f8b811ff" targetNamespace="http://schemas.microsoft.com/office/2006/metadata/properties" ma:root="true" ma:fieldsID="1738657c165564d83eb395ebe783cb8f" ns2:_="" ns3:_="">
    <xsd:import namespace="cd1c2313-39f8-4f5d-8e14-5f0ea1c36a8a"/>
    <xsd:import namespace="6920f5ab-9618-4f6e-a652-41e6f8b811ff"/>
    <xsd:element name="properties">
      <xsd:complexType>
        <xsd:sequence>
          <xsd:element name="documentManagement">
            <xsd:complexType>
              <xsd:all>
                <xsd:element ref="ns2:UNF3CSPInvitationToSubmit" minOccurs="0"/>
                <xsd:element ref="ns2:UNF3CSPEntity" minOccurs="0"/>
                <xsd:element ref="ns2:UNF3CSPLanguage" minOccurs="0"/>
                <xsd:element ref="ns2:UNF3CSPDescription" minOccurs="0"/>
                <xsd:element ref="ns3:UNF3CSPBody" minOccurs="0"/>
                <xsd:element ref="ns3:Year" minOccurs="0"/>
                <xsd:element ref="ns3:Session" minOccurs="0"/>
                <xsd:element ref="ns3:Issue" minOccurs="0"/>
                <xsd:element ref="ns3:Mandate" minOccurs="0"/>
                <xsd:element ref="ns3:Date_x0020_Of_x0020_Call" minOccurs="0"/>
                <xsd:element ref="ns3:Theme" minOccurs="0"/>
                <xsd:element ref="ns3:UNF3CSPEntityType" minOccurs="0"/>
                <xsd:element ref="ns3:UNF3CSPSubmissionDate" minOccurs="0"/>
                <xsd:element ref="ns3:SourceItemID" minOccurs="0"/>
                <xsd:element ref="ns3:UNF3CSPThematicAre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c2313-39f8-4f5d-8e14-5f0ea1c36a8a" elementFormDefault="qualified">
    <xsd:import namespace="http://schemas.microsoft.com/office/2006/documentManagement/types"/>
    <xsd:import namespace="http://schemas.microsoft.com/office/infopath/2007/PartnerControls"/>
    <xsd:element name="UNF3CSPInvitationToSubmit" ma:index="2" nillable="true" ma:displayName="Invitation To Submit" ma:internalName="UNF3CSPInvitationToSubmit" ma:readOnly="false">
      <xsd:simpleType>
        <xsd:restriction base="dms:Text"/>
      </xsd:simpleType>
    </xsd:element>
    <xsd:element name="UNF3CSPEntity" ma:index="3" nillable="true" ma:displayName="Entity" ma:internalName="UNF3CSPEntity" ma:readOnly="false">
      <xsd:simpleType>
        <xsd:restriction base="dms:Text"/>
      </xsd:simpleType>
    </xsd:element>
    <xsd:element name="UNF3CSPLanguage" ma:index="4" nillable="true" ma:displayName="Language" ma:internalName="UNF3CSPLanguage" ma:readOnly="false">
      <xsd:simpleType>
        <xsd:restriction base="dms:Text"/>
      </xsd:simpleType>
    </xsd:element>
    <xsd:element name="UNF3CSPDescription" ma:index="5" nillable="true" ma:displayName="Description" ma:internalName="UNF3CSP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20f5ab-9618-4f6e-a652-41e6f8b811ff" elementFormDefault="qualified">
    <xsd:import namespace="http://schemas.microsoft.com/office/2006/documentManagement/types"/>
    <xsd:import namespace="http://schemas.microsoft.com/office/infopath/2007/PartnerControls"/>
    <xsd:element name="UNF3CSPBody" ma:index="6" nillable="true" ma:displayName="Body" ma:internalName="Body" ma:readOnly="false">
      <xsd:simpleType>
        <xsd:restriction base="dms:Text">
          <xsd:maxLength value="255"/>
        </xsd:restriction>
      </xsd:simpleType>
    </xsd:element>
    <xsd:element name="Year" ma:index="7" nillable="true" ma:displayName="Year" ma:internalName="Year" ma:readOnly="false">
      <xsd:simpleType>
        <xsd:restriction base="dms:Text"/>
      </xsd:simpleType>
    </xsd:element>
    <xsd:element name="Session" ma:index="8" nillable="true" ma:displayName="Session" ma:internalName="Session" ma:readOnly="false">
      <xsd:simpleType>
        <xsd:restriction base="dms:Text"/>
      </xsd:simpleType>
    </xsd:element>
    <xsd:element name="Issue" ma:index="9" nillable="true" ma:displayName="Issue" ma:internalName="Issue" ma:readOnly="false">
      <xsd:simpleType>
        <xsd:restriction base="dms:Note"/>
      </xsd:simpleType>
    </xsd:element>
    <xsd:element name="Mandate" ma:index="10" nillable="true" ma:displayName="Mandate" ma:internalName="Mandate" ma:readOnly="false">
      <xsd:simpleType>
        <xsd:restriction base="dms:Note">
          <xsd:maxLength value="255"/>
        </xsd:restriction>
      </xsd:simpleType>
    </xsd:element>
    <xsd:element name="Date_x0020_Of_x0020_Call" ma:index="11" nillable="true" ma:displayName="Date Of Call" ma:format="DateOnly" ma:internalName="Date_x0020_Of_x0020_Call" ma:readOnly="false">
      <xsd:simpleType>
        <xsd:restriction base="dms:DateTime"/>
      </xsd:simpleType>
    </xsd:element>
    <xsd:element name="Theme" ma:index="12" nillable="true" ma:displayName="Theme" ma:internalName="Theme" ma:readOnly="false">
      <xsd:simpleType>
        <xsd:restriction base="dms:Note">
          <xsd:maxLength value="255"/>
        </xsd:restriction>
      </xsd:simpleType>
    </xsd:element>
    <xsd:element name="UNF3CSPEntityType" ma:index="19" nillable="true" ma:displayName="Entity Type" ma:internalName="UNF3CSPEntityType">
      <xsd:simpleType>
        <xsd:restriction base="dms:Text">
          <xsd:maxLength value="255"/>
        </xsd:restriction>
      </xsd:simpleType>
    </xsd:element>
    <xsd:element name="UNF3CSPSubmissionDate" ma:index="20" nillable="true" ma:displayName="UNF3CSPSubmissionDate" ma:format="DateOnly" ma:internalName="UNF3CSPSubmissionDate">
      <xsd:simpleType>
        <xsd:restriction base="dms:DateTime"/>
      </xsd:simpleType>
    </xsd:element>
    <xsd:element name="SourceItemID" ma:index="21" nillable="true" ma:displayName="SourceItemID" ma:internalName="SourceItemID">
      <xsd:simpleType>
        <xsd:restriction base="dms:Text">
          <xsd:maxLength value="255"/>
        </xsd:restriction>
      </xsd:simpleType>
    </xsd:element>
    <xsd:element name="UNF3CSPThematicAreas" ma:index="22" nillable="true" ma:displayName="Thematic Areas" ma:internalName="UNF3CSPThematicAreas">
      <xsd:complexType>
        <xsd:complexContent>
          <xsd:extension base="dms:MultiChoice">
            <xsd:sequence>
              <xsd:element name="Value" maxOccurs="unbounded" minOccurs="0" nillable="true">
                <xsd:simpleType>
                  <xsd:restriction base="dms:Choice">
                    <xsd:enumeration value="Adaptation"/>
                    <xsd:enumeration value="Mitigation"/>
                    <xsd:enumeration value="Finance"/>
                    <xsd:enumeration value="Means of implementation"/>
                    <xsd:enumeration value="Capacity building"/>
                    <xsd:enumeration value="Technology"/>
                    <xsd:enumeration value="Loss and damage"/>
                    <xsd:enumeration value="Response measures"/>
                    <xsd:enumeration value="Science"/>
                    <xsd:enumeration value="Equity"/>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97D121-F668-4A0A-BBCA-805FA76CF2F5}"/>
</file>

<file path=customXml/itemProps2.xml><?xml version="1.0" encoding="utf-8"?>
<ds:datastoreItem xmlns:ds="http://schemas.openxmlformats.org/officeDocument/2006/customXml" ds:itemID="{D54D5E6E-0EC9-4336-9F84-59258C4D548D}"/>
</file>

<file path=customXml/itemProps3.xml><?xml version="1.0" encoding="utf-8"?>
<ds:datastoreItem xmlns:ds="http://schemas.openxmlformats.org/officeDocument/2006/customXml" ds:itemID="{0BFD7439-8E98-4D12-B7E5-06CF208218B0}"/>
</file>

<file path=customXml/itemProps4.xml><?xml version="1.0" encoding="utf-8"?>
<ds:datastoreItem xmlns:ds="http://schemas.openxmlformats.org/officeDocument/2006/customXml" ds:itemID="{55DF3A7A-613F-4841-9854-3A0651055480}"/>
</file>

<file path=docProps/app.xml><?xml version="1.0" encoding="utf-8"?>
<Properties xmlns="http://schemas.openxmlformats.org/officeDocument/2006/extended-properties" xmlns:vt="http://schemas.openxmlformats.org/officeDocument/2006/docPropsVTypes">
  <Template>Normal.dotm</Template>
  <TotalTime>4</TotalTime>
  <Pages>12</Pages>
  <Words>5481</Words>
  <Characters>31242</Characters>
  <Application>Microsoft Office Word</Application>
  <DocSecurity>0</DocSecurity>
  <Lines>260</Lines>
  <Paragraphs>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 Cavelier Adarve</dc:creator>
  <cp:lastModifiedBy>Alejandra Lopez Carbajal</cp:lastModifiedBy>
  <cp:revision>4</cp:revision>
  <dcterms:created xsi:type="dcterms:W3CDTF">2022-04-25T22:24:00Z</dcterms:created>
  <dcterms:modified xsi:type="dcterms:W3CDTF">2022-04-29T16:15:00Z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0x01010060B37736DA6C3A4EA53353A2B9AE5F5400350996634F87D6408857E55B65F74000</vt:lpwstr>
  </property>
  <property fmtid="{D5CDD505-2E9C-101B-9397-08002B2CF9AE}" pid="3" name="Order">
    <vt:r8>634000</vt:r8>
  </property>
  <property fmtid="{D5CDD505-2E9C-101B-9397-08002B2CF9AE}" pid="4" name="xd_ProgID">
    <vt:lpwstr/>
  </property>
  <property fmtid="{D5CDD505-2E9C-101B-9397-08002B2CF9AE}" pid="5" name="_CopySource">
    <vt:lpwstr>https://process.unfccc.int/sites/SubmissionsStaging/Documents/202204291649---220427 AILAC submission on 2_1c vf.docx</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