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59D" w:rsidRDefault="0011359D" w:rsidP="0011359D">
      <w:pPr>
        <w:pStyle w:val="NoSpacing"/>
        <w:jc w:val="center"/>
        <w:rPr>
          <w:rFonts w:ascii="Calibri Light" w:hAnsi="Calibri Light" w:cs="Calibri Light"/>
          <w:b/>
          <w:sz w:val="28"/>
          <w:szCs w:val="28"/>
        </w:rPr>
      </w:pPr>
      <w:r>
        <w:rPr>
          <w:rFonts w:ascii="Calibri Light" w:hAnsi="Calibri Light" w:cs="Calibri Light"/>
          <w:b/>
          <w:sz w:val="28"/>
          <w:szCs w:val="28"/>
        </w:rPr>
        <w:t>The Republic of Vanuatu</w:t>
      </w:r>
    </w:p>
    <w:p w:rsidR="0011359D" w:rsidRDefault="0011359D" w:rsidP="0011359D">
      <w:pPr>
        <w:pStyle w:val="NoSpacing"/>
        <w:jc w:val="center"/>
        <w:rPr>
          <w:rFonts w:ascii="Calibri Light" w:hAnsi="Calibri Light" w:cs="Calibri Light"/>
          <w:b/>
          <w:sz w:val="28"/>
          <w:szCs w:val="28"/>
        </w:rPr>
      </w:pPr>
      <w:r>
        <w:rPr>
          <w:rFonts w:ascii="Calibri Light" w:hAnsi="Calibri Light" w:cs="Calibri Light"/>
          <w:b/>
          <w:sz w:val="28"/>
          <w:szCs w:val="28"/>
        </w:rPr>
        <w:t xml:space="preserve">Submission </w:t>
      </w:r>
      <w:r>
        <w:rPr>
          <w:rFonts w:ascii="Calibri Light" w:hAnsi="Calibri Light" w:cs="Calibri Light"/>
          <w:b/>
          <w:i/>
          <w:sz w:val="28"/>
          <w:szCs w:val="28"/>
        </w:rPr>
        <w:t>on</w:t>
      </w:r>
    </w:p>
    <w:p w:rsidR="0011359D" w:rsidRDefault="0011359D" w:rsidP="0011359D">
      <w:pPr>
        <w:pStyle w:val="NoSpacing"/>
        <w:jc w:val="center"/>
        <w:rPr>
          <w:rFonts w:ascii="Calibri Light" w:hAnsi="Calibri Light" w:cs="Calibri Light"/>
          <w:b/>
          <w:sz w:val="28"/>
          <w:szCs w:val="28"/>
        </w:rPr>
      </w:pPr>
      <w:r>
        <w:rPr>
          <w:rFonts w:ascii="Calibri Light" w:hAnsi="Calibri Light" w:cs="Calibri Light"/>
          <w:b/>
          <w:sz w:val="28"/>
          <w:szCs w:val="28"/>
        </w:rPr>
        <w:t>Article 6 of the Paris Agreement: Avoiding Double Use of Emissions Reductions Achieved Outside the Nationally Determined Contributions (Article 6.4)</w:t>
      </w:r>
    </w:p>
    <w:p w:rsidR="0011359D" w:rsidRDefault="0011359D" w:rsidP="0011359D">
      <w:pPr>
        <w:pStyle w:val="NoSpacing"/>
        <w:rPr>
          <w:rFonts w:ascii="Calibri Light" w:hAnsi="Calibri Light" w:cs="Calibri Light"/>
          <w:b/>
          <w:sz w:val="28"/>
          <w:szCs w:val="28"/>
        </w:rPr>
      </w:pPr>
    </w:p>
    <w:p w:rsidR="007613D0" w:rsidRPr="0011359D" w:rsidRDefault="007613D0" w:rsidP="007613D0">
      <w:pPr>
        <w:jc w:val="both"/>
        <w:rPr>
          <w:rFonts w:ascii="Calibri Light" w:hAnsi="Calibri Light" w:cs="Calibri Light"/>
          <w:sz w:val="24"/>
          <w:szCs w:val="24"/>
        </w:rPr>
      </w:pPr>
      <w:bookmarkStart w:id="0" w:name="_GoBack"/>
      <w:bookmarkEnd w:id="0"/>
      <w:r w:rsidRPr="0011359D">
        <w:rPr>
          <w:rFonts w:ascii="Calibri Light" w:hAnsi="Calibri Light" w:cs="Calibri Light"/>
          <w:sz w:val="24"/>
          <w:szCs w:val="24"/>
        </w:rPr>
        <w:t xml:space="preserve">Vanuatu is an extremely climate vulnerable small island nation in the southern Pacific.  Our population of just over 290,000 is already suffering devastating consequences of climate change, including impacts related to coastal erosion driven by Sea Level Rise (SLR), tropical cyclones, extreme ENSO events, coral bleaching, ocean acidification and temperature-related agricultural production declines. </w:t>
      </w:r>
    </w:p>
    <w:p w:rsidR="007613D0" w:rsidRPr="0011359D" w:rsidRDefault="007613D0" w:rsidP="007613D0">
      <w:pPr>
        <w:jc w:val="both"/>
        <w:rPr>
          <w:rFonts w:ascii="Calibri Light" w:hAnsi="Calibri Light" w:cs="Calibri Light"/>
          <w:sz w:val="24"/>
          <w:szCs w:val="24"/>
        </w:rPr>
      </w:pPr>
      <w:r w:rsidRPr="0011359D">
        <w:rPr>
          <w:rFonts w:ascii="Calibri Light" w:hAnsi="Calibri Light" w:cs="Calibri Light"/>
          <w:sz w:val="24"/>
          <w:szCs w:val="24"/>
        </w:rPr>
        <w:t>Vanuatu has been ranked the most Vulnerable nation on Earth according to the World Risk Report over several years.  A single cyclone caused economic loss and damage effects of USD 449.4 million (64.1% of GDP).  Annually, Vanuatu experiences an average of 2.5 cyclones.</w:t>
      </w:r>
    </w:p>
    <w:p w:rsidR="007613D0" w:rsidRPr="0011359D" w:rsidRDefault="007613D0" w:rsidP="007613D0">
      <w:pPr>
        <w:jc w:val="both"/>
        <w:rPr>
          <w:rFonts w:ascii="Calibri Light" w:hAnsi="Calibri Light" w:cs="Calibri Light"/>
          <w:sz w:val="24"/>
          <w:szCs w:val="24"/>
        </w:rPr>
      </w:pPr>
      <w:r w:rsidRPr="0011359D">
        <w:rPr>
          <w:rFonts w:ascii="Calibri Light" w:hAnsi="Calibri Light" w:cs="Calibri Light"/>
          <w:sz w:val="24"/>
          <w:szCs w:val="24"/>
        </w:rPr>
        <w:t xml:space="preserve">It is clear that climate change caused by anthropogenic greenhouse gas emissions is now undermining Vanuatu’s sustainable development aspirations and the livelihoods, safety, and basic human rights of current and future generations. </w:t>
      </w:r>
    </w:p>
    <w:p w:rsidR="007613D0" w:rsidRPr="0011359D" w:rsidRDefault="007613D0" w:rsidP="007613D0">
      <w:pPr>
        <w:jc w:val="both"/>
        <w:rPr>
          <w:rFonts w:ascii="Calibri Light" w:hAnsi="Calibri Light" w:cs="Calibri Light"/>
          <w:sz w:val="24"/>
          <w:szCs w:val="24"/>
        </w:rPr>
      </w:pPr>
      <w:r w:rsidRPr="0011359D">
        <w:rPr>
          <w:rFonts w:ascii="Calibri Light" w:hAnsi="Calibri Light" w:cs="Calibri Light"/>
          <w:sz w:val="24"/>
          <w:szCs w:val="24"/>
        </w:rPr>
        <w:t xml:space="preserve">This is neither morally acceptable nor just, as Vanuatu is a country with extremely low GHG emissions, contributing just 0.0016% to global GHG emission contributions, yet facing some of the most dangerous levels of climate-induced loss and damage on the planet. Regardless of its miniscule contribution to the causes of the climate crisis, Vanuatu is demonstrating high commitment, having recently enhanced its NDC to include additional mitigation sectors; raising ambitions in mitigating national GHG emissions. </w:t>
      </w:r>
    </w:p>
    <w:p w:rsidR="007613D0" w:rsidRPr="0011359D" w:rsidRDefault="007613D0" w:rsidP="007613D0">
      <w:pPr>
        <w:jc w:val="both"/>
        <w:rPr>
          <w:rFonts w:ascii="Calibri Light" w:hAnsi="Calibri Light" w:cs="Calibri Light"/>
          <w:sz w:val="24"/>
          <w:szCs w:val="24"/>
        </w:rPr>
      </w:pPr>
      <w:r w:rsidRPr="0011359D">
        <w:rPr>
          <w:rFonts w:ascii="Calibri Light" w:hAnsi="Calibri Light" w:cs="Calibri Light"/>
          <w:sz w:val="24"/>
          <w:szCs w:val="24"/>
        </w:rPr>
        <w:t xml:space="preserve">Article 6.4 needs to add value, by helping countries achieve their NDCs at least cost, facilitating the engagement of private entities in emission reduction activities, and provide Parties with the opportunity and incentive to support emission reduction activities that generate transferable emission reductions that can be used by Parties toward achievement of their NDCs. Most importantly however Article 6.4 must generate a substantial “overall mitigation in global emissions” OMGE in the atmosphere, and from which everyone, including Vanuatu, benefits by avoided climate loss and damage. </w:t>
      </w:r>
    </w:p>
    <w:p w:rsidR="007613D0" w:rsidRPr="0011359D" w:rsidRDefault="007613D0" w:rsidP="007613D0">
      <w:pPr>
        <w:jc w:val="both"/>
        <w:rPr>
          <w:rFonts w:ascii="Calibri Light" w:hAnsi="Calibri Light" w:cs="Calibri Light"/>
          <w:sz w:val="24"/>
          <w:szCs w:val="24"/>
        </w:rPr>
      </w:pPr>
      <w:r w:rsidRPr="0011359D">
        <w:rPr>
          <w:rFonts w:ascii="Calibri Light" w:hAnsi="Calibri Light" w:cs="Calibri Light"/>
          <w:sz w:val="24"/>
          <w:szCs w:val="24"/>
        </w:rPr>
        <w:t>By contributing to net mitigation, through the delivery of an overall mitigation in global emissions, we have the opportunity create an inherent value in Article 6.4 units, beyond offsetting, and will inspire greater confidence in the Paris Agreement and international climate frameworks.  There is no other viable option for Vanuatu, except to stay within the 1.5 degree Celsius warming limit and reach net zero global emissions by 2050.</w:t>
      </w:r>
    </w:p>
    <w:p w:rsidR="007613D0" w:rsidRPr="0011359D" w:rsidRDefault="007613D0" w:rsidP="007613D0">
      <w:pPr>
        <w:jc w:val="both"/>
        <w:rPr>
          <w:rFonts w:ascii="Calibri Light" w:hAnsi="Calibri Light" w:cs="Calibri Light"/>
          <w:sz w:val="24"/>
          <w:szCs w:val="24"/>
        </w:rPr>
      </w:pPr>
      <w:r w:rsidRPr="0011359D">
        <w:rPr>
          <w:rFonts w:ascii="Calibri Light" w:hAnsi="Calibri Light" w:cs="Calibri Light"/>
          <w:sz w:val="24"/>
          <w:szCs w:val="24"/>
        </w:rPr>
        <w:t xml:space="preserve">To ensure environmental integrity, the rules, modalities and procedures on accounting must be clearly defined by Parties, and not subsidiary bodies. The use of emission reductions from Article 6.4 activities by more than one Party must be avoided.  </w:t>
      </w:r>
    </w:p>
    <w:p w:rsidR="007613D0" w:rsidRPr="0011359D" w:rsidRDefault="007613D0" w:rsidP="007613D0">
      <w:pPr>
        <w:jc w:val="both"/>
        <w:rPr>
          <w:rFonts w:ascii="Calibri Light" w:hAnsi="Calibri Light" w:cs="Calibri Light"/>
          <w:sz w:val="24"/>
          <w:szCs w:val="24"/>
        </w:rPr>
      </w:pPr>
      <w:r w:rsidRPr="0011359D">
        <w:rPr>
          <w:rFonts w:ascii="Calibri Light" w:hAnsi="Calibri Light" w:cs="Calibri Light"/>
          <w:sz w:val="24"/>
          <w:szCs w:val="24"/>
        </w:rPr>
        <w:lastRenderedPageBreak/>
        <w:t xml:space="preserve">Vanuatu proposes the following tangible solutions to avoid double counting: </w:t>
      </w:r>
    </w:p>
    <w:p w:rsidR="007613D0" w:rsidRPr="0011359D" w:rsidRDefault="007613D0" w:rsidP="007613D0">
      <w:pPr>
        <w:pStyle w:val="ListParagraph"/>
        <w:numPr>
          <w:ilvl w:val="0"/>
          <w:numId w:val="1"/>
        </w:numPr>
        <w:jc w:val="both"/>
        <w:rPr>
          <w:rFonts w:ascii="Calibri Light" w:hAnsi="Calibri Light" w:cs="Calibri Light"/>
          <w:sz w:val="24"/>
          <w:szCs w:val="24"/>
        </w:rPr>
      </w:pPr>
      <w:r w:rsidRPr="0011359D">
        <w:rPr>
          <w:rFonts w:ascii="Calibri Light" w:hAnsi="Calibri Light" w:cs="Calibri Light"/>
          <w:sz w:val="24"/>
          <w:szCs w:val="24"/>
        </w:rPr>
        <w:t xml:space="preserve">Article 6.2 guidance must cover international transfers of Article 6.4 outcomes, in cases where reductions are used towards NDCs. </w:t>
      </w:r>
    </w:p>
    <w:p w:rsidR="007613D0" w:rsidRPr="0011359D" w:rsidRDefault="007613D0" w:rsidP="007613D0">
      <w:pPr>
        <w:pStyle w:val="ListParagraph"/>
        <w:numPr>
          <w:ilvl w:val="0"/>
          <w:numId w:val="1"/>
        </w:numPr>
        <w:jc w:val="both"/>
        <w:rPr>
          <w:rFonts w:ascii="Calibri Light" w:hAnsi="Calibri Light" w:cs="Calibri Light"/>
          <w:sz w:val="24"/>
          <w:szCs w:val="24"/>
        </w:rPr>
      </w:pPr>
      <w:r w:rsidRPr="0011359D">
        <w:rPr>
          <w:rFonts w:ascii="Calibri Light" w:hAnsi="Calibri Light" w:cs="Calibri Light"/>
          <w:sz w:val="24"/>
          <w:szCs w:val="24"/>
        </w:rPr>
        <w:t>Robust accounting frameworks must require corresponding adjustments for all transfers</w:t>
      </w:r>
    </w:p>
    <w:p w:rsidR="007613D0" w:rsidRPr="0011359D" w:rsidRDefault="007613D0" w:rsidP="007613D0">
      <w:pPr>
        <w:pStyle w:val="ListParagraph"/>
        <w:numPr>
          <w:ilvl w:val="0"/>
          <w:numId w:val="1"/>
        </w:numPr>
        <w:jc w:val="both"/>
        <w:rPr>
          <w:rFonts w:ascii="Calibri Light" w:hAnsi="Calibri Light" w:cs="Calibri Light"/>
          <w:sz w:val="24"/>
          <w:szCs w:val="24"/>
        </w:rPr>
      </w:pPr>
      <w:r w:rsidRPr="0011359D">
        <w:rPr>
          <w:rFonts w:ascii="Calibri Light" w:hAnsi="Calibri Light" w:cs="Calibri Light"/>
          <w:sz w:val="24"/>
          <w:szCs w:val="24"/>
        </w:rPr>
        <w:t xml:space="preserve">Rules, Modalities and Procedures shall include measures to address perverse incentives for example: </w:t>
      </w:r>
    </w:p>
    <w:p w:rsidR="007613D0" w:rsidRPr="0011359D" w:rsidRDefault="007613D0" w:rsidP="00AD63F2">
      <w:pPr>
        <w:pStyle w:val="ListParagraph"/>
        <w:numPr>
          <w:ilvl w:val="1"/>
          <w:numId w:val="5"/>
        </w:numPr>
        <w:jc w:val="both"/>
        <w:rPr>
          <w:rFonts w:ascii="Calibri Light" w:hAnsi="Calibri Light" w:cs="Calibri Light"/>
          <w:sz w:val="24"/>
          <w:szCs w:val="24"/>
        </w:rPr>
      </w:pPr>
      <w:r w:rsidRPr="0011359D">
        <w:rPr>
          <w:rFonts w:ascii="Calibri Light" w:hAnsi="Calibri Light" w:cs="Calibri Light"/>
          <w:sz w:val="24"/>
          <w:szCs w:val="24"/>
        </w:rPr>
        <w:t>authorization by both Parties</w:t>
      </w:r>
    </w:p>
    <w:p w:rsidR="007613D0" w:rsidRPr="0011359D" w:rsidRDefault="007613D0" w:rsidP="00AD63F2">
      <w:pPr>
        <w:pStyle w:val="ListParagraph"/>
        <w:numPr>
          <w:ilvl w:val="1"/>
          <w:numId w:val="5"/>
        </w:numPr>
        <w:jc w:val="both"/>
        <w:rPr>
          <w:rFonts w:ascii="Calibri Light" w:hAnsi="Calibri Light" w:cs="Calibri Light"/>
          <w:sz w:val="24"/>
          <w:szCs w:val="24"/>
        </w:rPr>
      </w:pPr>
      <w:r w:rsidRPr="0011359D">
        <w:rPr>
          <w:rFonts w:ascii="Calibri Light" w:hAnsi="Calibri Light" w:cs="Calibri Light"/>
          <w:sz w:val="24"/>
          <w:szCs w:val="24"/>
        </w:rPr>
        <w:t>unique serial numbers for units, transfers indicating source of reduction, underlying ITMO activity type and facilitate tracking;</w:t>
      </w:r>
    </w:p>
    <w:p w:rsidR="007613D0" w:rsidRPr="0011359D" w:rsidRDefault="007613D0" w:rsidP="00AD63F2">
      <w:pPr>
        <w:pStyle w:val="ListParagraph"/>
        <w:numPr>
          <w:ilvl w:val="1"/>
          <w:numId w:val="5"/>
        </w:numPr>
        <w:jc w:val="both"/>
        <w:rPr>
          <w:rFonts w:ascii="Calibri Light" w:hAnsi="Calibri Light" w:cs="Calibri Light"/>
          <w:sz w:val="24"/>
          <w:szCs w:val="24"/>
        </w:rPr>
      </w:pPr>
      <w:r w:rsidRPr="0011359D">
        <w:rPr>
          <w:rFonts w:ascii="Calibri Light" w:hAnsi="Calibri Light" w:cs="Calibri Light"/>
          <w:sz w:val="24"/>
          <w:szCs w:val="24"/>
        </w:rPr>
        <w:t>reliable independently monitored registries;</w:t>
      </w:r>
    </w:p>
    <w:p w:rsidR="007613D0" w:rsidRPr="0011359D" w:rsidRDefault="007613D0" w:rsidP="00AD63F2">
      <w:pPr>
        <w:pStyle w:val="ListParagraph"/>
        <w:numPr>
          <w:ilvl w:val="1"/>
          <w:numId w:val="5"/>
        </w:numPr>
        <w:jc w:val="both"/>
        <w:rPr>
          <w:rFonts w:ascii="Calibri Light" w:hAnsi="Calibri Light" w:cs="Calibri Light"/>
          <w:sz w:val="24"/>
          <w:szCs w:val="24"/>
        </w:rPr>
      </w:pPr>
      <w:r w:rsidRPr="0011359D">
        <w:rPr>
          <w:rFonts w:ascii="Calibri Light" w:hAnsi="Calibri Light" w:cs="Calibri Light"/>
          <w:sz w:val="24"/>
          <w:szCs w:val="24"/>
        </w:rPr>
        <w:t>An international transactions log and centralized accounting database.</w:t>
      </w:r>
    </w:p>
    <w:p w:rsidR="007613D0" w:rsidRPr="0011359D" w:rsidRDefault="007613D0" w:rsidP="007613D0">
      <w:pPr>
        <w:pStyle w:val="ListParagraph"/>
        <w:numPr>
          <w:ilvl w:val="0"/>
          <w:numId w:val="1"/>
        </w:numPr>
        <w:jc w:val="both"/>
        <w:rPr>
          <w:rFonts w:ascii="Calibri Light" w:hAnsi="Calibri Light" w:cs="Calibri Light"/>
          <w:sz w:val="24"/>
          <w:szCs w:val="24"/>
        </w:rPr>
      </w:pPr>
      <w:r w:rsidRPr="0011359D">
        <w:rPr>
          <w:rFonts w:ascii="Calibri Light" w:hAnsi="Calibri Light" w:cs="Calibri Light"/>
          <w:sz w:val="24"/>
          <w:szCs w:val="24"/>
        </w:rPr>
        <w:t xml:space="preserve">Accounting for Article 6.2 and Article 6.4 should only be relevant to NDCs; that is, account for reductions within the NDC’s only. </w:t>
      </w:r>
    </w:p>
    <w:p w:rsidR="007613D0" w:rsidRPr="0011359D" w:rsidRDefault="007613D0" w:rsidP="007613D0">
      <w:pPr>
        <w:jc w:val="both"/>
        <w:rPr>
          <w:rFonts w:ascii="Calibri Light" w:hAnsi="Calibri Light" w:cs="Calibri Light"/>
          <w:sz w:val="24"/>
          <w:szCs w:val="24"/>
        </w:rPr>
      </w:pPr>
      <w:r w:rsidRPr="0011359D">
        <w:rPr>
          <w:rFonts w:ascii="Calibri Light" w:hAnsi="Calibri Light" w:cs="Calibri Light"/>
          <w:sz w:val="24"/>
          <w:szCs w:val="24"/>
        </w:rPr>
        <w:t xml:space="preserve">Use of market-based mechanisms must </w:t>
      </w:r>
      <w:r w:rsidR="0011359D">
        <w:rPr>
          <w:rFonts w:ascii="Calibri Light" w:hAnsi="Calibri Light" w:cs="Calibri Light"/>
          <w:sz w:val="24"/>
          <w:szCs w:val="24"/>
        </w:rPr>
        <w:t>uphold</w:t>
      </w:r>
      <w:r w:rsidRPr="0011359D">
        <w:rPr>
          <w:rFonts w:ascii="Calibri Light" w:hAnsi="Calibri Light" w:cs="Calibri Light"/>
          <w:sz w:val="24"/>
          <w:szCs w:val="24"/>
        </w:rPr>
        <w:t xml:space="preserve"> environmental integrity of Parties' NDCs, individually or in aggregate.  Accounting loop holes must be closed to protect what NDC targets are intended to deliver.  If rules on how to avoid double counting are not agreed swiftly, their absence may stifle efforts among countries to cooperate in the successful implementation of the Paris Agreement.</w:t>
      </w:r>
    </w:p>
    <w:p w:rsidR="005542BE" w:rsidRDefault="005542BE"/>
    <w:sectPr w:rsidR="005542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47C9C"/>
    <w:multiLevelType w:val="hybridMultilevel"/>
    <w:tmpl w:val="8C865458"/>
    <w:lvl w:ilvl="0" w:tplc="08090001">
      <w:start w:val="1"/>
      <w:numFmt w:val="bullet"/>
      <w:lvlText w:val=""/>
      <w:lvlJc w:val="left"/>
      <w:pPr>
        <w:ind w:left="720" w:hanging="360"/>
      </w:pPr>
      <w:rPr>
        <w:rFonts w:ascii="Symbol" w:hAnsi="Symbol" w:hint="default"/>
      </w:rPr>
    </w:lvl>
    <w:lvl w:ilvl="1" w:tplc="50C05BA0">
      <w:numFmt w:val="bullet"/>
      <w:lvlText w:val="-"/>
      <w:lvlJc w:val="left"/>
      <w:pPr>
        <w:ind w:left="1440" w:hanging="360"/>
      </w:pPr>
      <w:rPr>
        <w:rFonts w:ascii="Calibri" w:eastAsia="Calibri" w:hAnsi="Calibri"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FB6D17"/>
    <w:multiLevelType w:val="hybridMultilevel"/>
    <w:tmpl w:val="C2C47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5635F6D"/>
    <w:multiLevelType w:val="multilevel"/>
    <w:tmpl w:val="50C8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054E18"/>
    <w:multiLevelType w:val="multilevel"/>
    <w:tmpl w:val="8514E6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171983"/>
    <w:multiLevelType w:val="multilevel"/>
    <w:tmpl w:val="F032482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3D0"/>
    <w:rsid w:val="0011359D"/>
    <w:rsid w:val="005542BE"/>
    <w:rsid w:val="006E7CAA"/>
    <w:rsid w:val="007613D0"/>
    <w:rsid w:val="008D71C3"/>
    <w:rsid w:val="00AD63F2"/>
    <w:rsid w:val="00E87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69B50-BA29-4E20-8E5A-C788309C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3D0"/>
  </w:style>
  <w:style w:type="paragraph" w:styleId="Heading2">
    <w:name w:val="heading 2"/>
    <w:basedOn w:val="Normal"/>
    <w:link w:val="Heading2Char"/>
    <w:uiPriority w:val="9"/>
    <w:qFormat/>
    <w:rsid w:val="008D71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13D0"/>
    <w:pPr>
      <w:ind w:left="720"/>
      <w:contextualSpacing/>
    </w:pPr>
  </w:style>
  <w:style w:type="character" w:customStyle="1" w:styleId="Heading2Char">
    <w:name w:val="Heading 2 Char"/>
    <w:basedOn w:val="DefaultParagraphFont"/>
    <w:link w:val="Heading2"/>
    <w:uiPriority w:val="9"/>
    <w:rsid w:val="008D71C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D71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D71C3"/>
    <w:rPr>
      <w:b/>
      <w:bCs/>
    </w:rPr>
  </w:style>
  <w:style w:type="paragraph" w:styleId="NoSpacing">
    <w:name w:val="No Spacing"/>
    <w:uiPriority w:val="1"/>
    <w:qFormat/>
    <w:rsid w:val="001135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904904">
      <w:bodyDiv w:val="1"/>
      <w:marLeft w:val="0"/>
      <w:marRight w:val="0"/>
      <w:marTop w:val="0"/>
      <w:marBottom w:val="0"/>
      <w:divBdr>
        <w:top w:val="none" w:sz="0" w:space="0" w:color="auto"/>
        <w:left w:val="none" w:sz="0" w:space="0" w:color="auto"/>
        <w:bottom w:val="none" w:sz="0" w:space="0" w:color="auto"/>
        <w:right w:val="none" w:sz="0" w:space="0" w:color="auto"/>
      </w:divBdr>
    </w:div>
    <w:div w:id="650983921">
      <w:bodyDiv w:val="1"/>
      <w:marLeft w:val="0"/>
      <w:marRight w:val="0"/>
      <w:marTop w:val="0"/>
      <w:marBottom w:val="0"/>
      <w:divBdr>
        <w:top w:val="none" w:sz="0" w:space="0" w:color="auto"/>
        <w:left w:val="none" w:sz="0" w:space="0" w:color="auto"/>
        <w:bottom w:val="none" w:sz="0" w:space="0" w:color="auto"/>
        <w:right w:val="none" w:sz="0" w:space="0" w:color="auto"/>
      </w:divBdr>
      <w:divsChild>
        <w:div w:id="773327135">
          <w:marLeft w:val="0"/>
          <w:marRight w:val="0"/>
          <w:marTop w:val="0"/>
          <w:marBottom w:val="150"/>
          <w:divBdr>
            <w:top w:val="none" w:sz="0" w:space="0" w:color="auto"/>
            <w:left w:val="none" w:sz="0" w:space="0" w:color="auto"/>
            <w:bottom w:val="none" w:sz="0" w:space="0" w:color="auto"/>
            <w:right w:val="none" w:sz="0" w:space="0" w:color="auto"/>
          </w:divBdr>
        </w:div>
        <w:div w:id="1889603628">
          <w:marLeft w:val="0"/>
          <w:marRight w:val="0"/>
          <w:marTop w:val="0"/>
          <w:marBottom w:val="300"/>
          <w:divBdr>
            <w:top w:val="none" w:sz="0" w:space="0" w:color="auto"/>
            <w:left w:val="none" w:sz="0" w:space="0" w:color="auto"/>
            <w:bottom w:val="single" w:sz="2" w:space="15" w:color="DFE6EB"/>
            <w:right w:val="none" w:sz="0" w:space="0" w:color="auto"/>
          </w:divBdr>
        </w:div>
        <w:div w:id="339820461">
          <w:marLeft w:val="0"/>
          <w:marRight w:val="0"/>
          <w:marTop w:val="0"/>
          <w:marBottom w:val="0"/>
          <w:divBdr>
            <w:top w:val="none" w:sz="0" w:space="0" w:color="auto"/>
            <w:left w:val="none" w:sz="0" w:space="0" w:color="auto"/>
            <w:bottom w:val="none" w:sz="0" w:space="0" w:color="auto"/>
            <w:right w:val="none" w:sz="0" w:space="0" w:color="auto"/>
          </w:divBdr>
          <w:divsChild>
            <w:div w:id="41248599">
              <w:marLeft w:val="0"/>
              <w:marRight w:val="0"/>
              <w:marTop w:val="0"/>
              <w:marBottom w:val="0"/>
              <w:divBdr>
                <w:top w:val="none" w:sz="0" w:space="0" w:color="auto"/>
                <w:left w:val="none" w:sz="0" w:space="0" w:color="auto"/>
                <w:bottom w:val="none" w:sz="0" w:space="0" w:color="auto"/>
                <w:right w:val="none" w:sz="0" w:space="0" w:color="auto"/>
              </w:divBdr>
            </w:div>
          </w:divsChild>
        </w:div>
        <w:div w:id="382101573">
          <w:marLeft w:val="0"/>
          <w:marRight w:val="0"/>
          <w:marTop w:val="0"/>
          <w:marBottom w:val="0"/>
          <w:divBdr>
            <w:top w:val="none" w:sz="0" w:space="0" w:color="auto"/>
            <w:left w:val="none" w:sz="0" w:space="0" w:color="auto"/>
            <w:bottom w:val="none" w:sz="0" w:space="0" w:color="auto"/>
            <w:right w:val="none" w:sz="0" w:space="0" w:color="auto"/>
          </w:divBdr>
          <w:divsChild>
            <w:div w:id="1716851921">
              <w:marLeft w:val="0"/>
              <w:marRight w:val="0"/>
              <w:marTop w:val="0"/>
              <w:marBottom w:val="0"/>
              <w:divBdr>
                <w:top w:val="none" w:sz="0" w:space="0" w:color="auto"/>
                <w:left w:val="none" w:sz="0" w:space="0" w:color="auto"/>
                <w:bottom w:val="none" w:sz="0" w:space="0" w:color="auto"/>
                <w:right w:val="none" w:sz="0" w:space="0" w:color="auto"/>
              </w:divBdr>
            </w:div>
          </w:divsChild>
        </w:div>
        <w:div w:id="580606173">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6920f5ab-9618-4f6e-a652-41e6f8b811ff">2015</Year>
    <UNF3CSPEntity xmlns="cd1c2313-39f8-4f5d-8e14-5f0ea1c36a8a">Vanuatu</UNF3CSPEntity>
    <UNF3CSPInvitationToSubmit xmlns="cd1c2313-39f8-4f5d-8e14-5f0ea1c36a8a">1307</UNF3CSPInvitationToSubmit>
    <UNF3CSPSubmissionDate xmlns="6920f5ab-9618-4f6e-a652-41e6f8b811ff">2021-04-23T10:54:00+00:00</UNF3CSPSubmissionDate>
    <UNF3CSPEntityType xmlns="6920f5ab-9618-4f6e-a652-41e6f8b811ff">Party</UNF3CSPEntityType>
    <Issue xmlns="6920f5ab-9618-4f6e-a652-41e6f8b811ff">Voluntary submissions </Issue>
    <UNF3CSPDescription xmlns="cd1c2313-39f8-4f5d-8e14-5f0ea1c36a8a" xsi:nil="true"/>
    <Date_x0020_Of_x0020_Call xmlns="6920f5ab-9618-4f6e-a652-41e6f8b811ff">2021-12-30T23:00:00+00:00</Date_x0020_Of_x0020_Call>
    <UNF3CSPLanguage xmlns="cd1c2313-39f8-4f5d-8e14-5f0ea1c36a8a">English</UNF3CSPLanguage>
    <Mandate xmlns="6920f5ab-9618-4f6e-a652-41e6f8b811ff">n/a</Mandate>
    <Session xmlns="6920f5ab-9618-4f6e-a652-41e6f8b811ff">aaa None</Session>
    <SourceItemID xmlns="6920f5ab-9618-4f6e-a652-41e6f8b811ff" xsi:nil="true"/>
    <Theme xmlns="6920f5ab-9618-4f6e-a652-41e6f8b811ff" xsi:nil="true"/>
    <UNF3CSPBody xmlns="6920f5ab-9618-4f6e-a652-41e6f8b811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bmissionFile" ma:contentTypeID="0x01010060B37736DA6C3A4EA53353A2B9AE5F5400350996634F87D6408857E55B65F74000" ma:contentTypeVersion="17" ma:contentTypeDescription="My Content Type" ma:contentTypeScope="" ma:versionID="c852cbb20a7c5f0944831b21cc63bcf0">
  <xsd:schema xmlns:xsd="http://www.w3.org/2001/XMLSchema" xmlns:xs="http://www.w3.org/2001/XMLSchema" xmlns:p="http://schemas.microsoft.com/office/2006/metadata/properties" xmlns:ns2="cd1c2313-39f8-4f5d-8e14-5f0ea1c36a8a" xmlns:ns3="6920f5ab-9618-4f6e-a652-41e6f8b811ff" targetNamespace="http://schemas.microsoft.com/office/2006/metadata/properties" ma:root="true" ma:fieldsID="cbea3d58a968e371a86517041a928cba" ns2:_="" ns3:_="">
    <xsd:import namespace="cd1c2313-39f8-4f5d-8e14-5f0ea1c36a8a"/>
    <xsd:import namespace="6920f5ab-9618-4f6e-a652-41e6f8b811ff"/>
    <xsd:element name="properties">
      <xsd:complexType>
        <xsd:sequence>
          <xsd:element name="documentManagement">
            <xsd:complexType>
              <xsd:all>
                <xsd:element ref="ns2:UNF3CSPInvitationToSubmit" minOccurs="0"/>
                <xsd:element ref="ns2:UNF3CSPEntity" minOccurs="0"/>
                <xsd:element ref="ns2:UNF3CSPLanguage" minOccurs="0"/>
                <xsd:element ref="ns2:UNF3CSPDescription" minOccurs="0"/>
                <xsd:element ref="ns3:UNF3CSPBody" minOccurs="0"/>
                <xsd:element ref="ns3:Year" minOccurs="0"/>
                <xsd:element ref="ns3:Session" minOccurs="0"/>
                <xsd:element ref="ns3:Issue" minOccurs="0"/>
                <xsd:element ref="ns3:Mandate" minOccurs="0"/>
                <xsd:element ref="ns3:Date_x0020_Of_x0020_Call" minOccurs="0"/>
                <xsd:element ref="ns3:Theme" minOccurs="0"/>
                <xsd:element ref="ns3:UNF3CSPEntityType" minOccurs="0"/>
                <xsd:element ref="ns3:UNF3CSPSubmissionDate" minOccurs="0"/>
                <xsd:element ref="ns3:SourceItem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c2313-39f8-4f5d-8e14-5f0ea1c36a8a" elementFormDefault="qualified">
    <xsd:import namespace="http://schemas.microsoft.com/office/2006/documentManagement/types"/>
    <xsd:import namespace="http://schemas.microsoft.com/office/infopath/2007/PartnerControls"/>
    <xsd:element name="UNF3CSPInvitationToSubmit" ma:index="2" nillable="true" ma:displayName="Invitation To Submit" ma:internalName="UNF3CSPInvitationToSubmit" ma:readOnly="false">
      <xsd:simpleType>
        <xsd:restriction base="dms:Text"/>
      </xsd:simpleType>
    </xsd:element>
    <xsd:element name="UNF3CSPEntity" ma:index="3" nillable="true" ma:displayName="Entity" ma:internalName="UNF3CSPEntity" ma:readOnly="false">
      <xsd:simpleType>
        <xsd:restriction base="dms:Text"/>
      </xsd:simpleType>
    </xsd:element>
    <xsd:element name="UNF3CSPLanguage" ma:index="4" nillable="true" ma:displayName="Language" ma:internalName="UNF3CSPLanguage" ma:readOnly="false">
      <xsd:simpleType>
        <xsd:restriction base="dms:Text"/>
      </xsd:simpleType>
    </xsd:element>
    <xsd:element name="UNF3CSPDescription" ma:index="5" nillable="true" ma:displayName="Description" ma:internalName="UNF3CSP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20f5ab-9618-4f6e-a652-41e6f8b811ff" elementFormDefault="qualified">
    <xsd:import namespace="http://schemas.microsoft.com/office/2006/documentManagement/types"/>
    <xsd:import namespace="http://schemas.microsoft.com/office/infopath/2007/PartnerControls"/>
    <xsd:element name="UNF3CSPBody" ma:index="6" nillable="true" ma:displayName="Body" ma:internalName="Body" ma:readOnly="false">
      <xsd:simpleType>
        <xsd:restriction base="dms:Text">
          <xsd:maxLength value="255"/>
        </xsd:restriction>
      </xsd:simpleType>
    </xsd:element>
    <xsd:element name="Year" ma:index="7" nillable="true" ma:displayName="Year" ma:internalName="Year" ma:readOnly="false">
      <xsd:simpleType>
        <xsd:restriction base="dms:Text"/>
      </xsd:simpleType>
    </xsd:element>
    <xsd:element name="Session" ma:index="8" nillable="true" ma:displayName="Session" ma:internalName="Session" ma:readOnly="false">
      <xsd:simpleType>
        <xsd:restriction base="dms:Text"/>
      </xsd:simpleType>
    </xsd:element>
    <xsd:element name="Issue" ma:index="9" nillable="true" ma:displayName="Issue" ma:internalName="Issue" ma:readOnly="false">
      <xsd:simpleType>
        <xsd:restriction base="dms:Note"/>
      </xsd:simpleType>
    </xsd:element>
    <xsd:element name="Mandate" ma:index="10" nillable="true" ma:displayName="Mandate" ma:internalName="Mandate" ma:readOnly="false">
      <xsd:simpleType>
        <xsd:restriction base="dms:Note">
          <xsd:maxLength value="255"/>
        </xsd:restriction>
      </xsd:simpleType>
    </xsd:element>
    <xsd:element name="Date_x0020_Of_x0020_Call" ma:index="11" nillable="true" ma:displayName="Date Of Call" ma:format="DateOnly" ma:internalName="Date_x0020_Of_x0020_Call" ma:readOnly="false">
      <xsd:simpleType>
        <xsd:restriction base="dms:DateTime"/>
      </xsd:simpleType>
    </xsd:element>
    <xsd:element name="Theme" ma:index="12" nillable="true" ma:displayName="Theme" ma:internalName="Theme" ma:readOnly="false">
      <xsd:simpleType>
        <xsd:restriction base="dms:Note">
          <xsd:maxLength value="255"/>
        </xsd:restriction>
      </xsd:simpleType>
    </xsd:element>
    <xsd:element name="UNF3CSPEntityType" ma:index="19" nillable="true" ma:displayName="Entity Type" ma:internalName="UNF3CSPEntityType">
      <xsd:simpleType>
        <xsd:restriction base="dms:Text">
          <xsd:maxLength value="255"/>
        </xsd:restriction>
      </xsd:simpleType>
    </xsd:element>
    <xsd:element name="UNF3CSPSubmissionDate" ma:index="20" nillable="true" ma:displayName="UNF3CSPSubmissionDate" ma:format="DateOnly" ma:internalName="UNF3CSPSubmissionDate">
      <xsd:simpleType>
        <xsd:restriction base="dms:DateTime"/>
      </xsd:simpleType>
    </xsd:element>
    <xsd:element name="SourceItemID" ma:index="21" nillable="true" ma:displayName="SourceItemID" ma:internalName="SourceItem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D03F4-8C2E-4CF4-85E0-CED1812F1A4F}"/>
</file>

<file path=customXml/itemProps2.xml><?xml version="1.0" encoding="utf-8"?>
<ds:datastoreItem xmlns:ds="http://schemas.openxmlformats.org/officeDocument/2006/customXml" ds:itemID="{4B59F285-306F-4830-BA5A-92D6DF44E2EB}"/>
</file>

<file path=customXml/itemProps3.xml><?xml version="1.0" encoding="utf-8"?>
<ds:datastoreItem xmlns:ds="http://schemas.openxmlformats.org/officeDocument/2006/customXml" ds:itemID="{5DC02A05-94E9-43C0-8636-B70067FF0BA1}"/>
</file>

<file path=docProps/app.xml><?xml version="1.0" encoding="utf-8"?>
<Properties xmlns="http://schemas.openxmlformats.org/officeDocument/2006/extended-properties" xmlns:vt="http://schemas.openxmlformats.org/officeDocument/2006/docPropsVTypes">
  <Template>Normal</Template>
  <TotalTime>66</TotalTime>
  <Pages>2</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Kalo</dc:creator>
  <cp:keywords/>
  <dc:description/>
  <cp:lastModifiedBy>Diana Hinge</cp:lastModifiedBy>
  <cp:revision>5</cp:revision>
  <dcterms:created xsi:type="dcterms:W3CDTF">2021-04-17T02:55:00Z</dcterms:created>
  <dcterms:modified xsi:type="dcterms:W3CDTF">2021-04-18T21:06:00Z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0x01010060B37736DA6C3A4EA53353A2B9AE5F5400350996634F87D6408857E55B65F74000</vt:lpwstr>
  </property>
  <property fmtid="{D5CDD505-2E9C-101B-9397-08002B2CF9AE}" pid="3" name="Order">
    <vt:r8>422600</vt:r8>
  </property>
  <property fmtid="{D5CDD505-2E9C-101B-9397-08002B2CF9AE}" pid="4" name="xd_ProgID">
    <vt:lpwstr/>
  </property>
  <property fmtid="{D5CDD505-2E9C-101B-9397-08002B2CF9AE}" pid="5" name="_CopySource">
    <vt:lpwstr>https://process.unfccc.int/sites/SubmissionsStaging/Documents/202104231054---Vanuatu Submission_Avoiding Double Use of Emissions Reductions Achieved Outside the NDC (Article 6.4).docx</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