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880E9" w14:textId="4A3E8C29" w:rsidR="005E3362" w:rsidRDefault="006872BD" w:rsidP="00F4500D">
      <w:pPr>
        <w:pStyle w:val="a5"/>
        <w:spacing w:after="176"/>
      </w:pPr>
      <w:r>
        <w:t xml:space="preserve">Japan’s submission on the work </w:t>
      </w:r>
      <w:r w:rsidR="0010743E">
        <w:t xml:space="preserve">related to </w:t>
      </w:r>
      <w:r w:rsidR="0010743E" w:rsidRPr="0010743E">
        <w:t>Methodological issues under the Paris Agreement (</w:t>
      </w:r>
      <w:r w:rsidR="0010743E">
        <w:t xml:space="preserve">SBSTA </w:t>
      </w:r>
      <w:r w:rsidR="0010743E" w:rsidRPr="0010743E">
        <w:t xml:space="preserve">Agenda item </w:t>
      </w:r>
      <w:r w:rsidR="000847C8" w:rsidRPr="009B0306">
        <w:rPr>
          <w:rFonts w:asciiTheme="majorHAnsi" w:eastAsia="ＭＳ 明朝" w:hAnsiTheme="majorHAnsi" w:cstheme="majorHAnsi"/>
        </w:rPr>
        <w:t>11</w:t>
      </w:r>
      <w:r w:rsidR="0010743E">
        <w:t>)</w:t>
      </w:r>
    </w:p>
    <w:p w14:paraId="60764156" w14:textId="68918E58" w:rsidR="00E14AB5" w:rsidRDefault="00293F3E" w:rsidP="00410CD6">
      <w:pPr>
        <w:pStyle w:val="aa"/>
        <w:wordWrap w:val="0"/>
      </w:pPr>
      <w:r>
        <w:t>November</w:t>
      </w:r>
      <w:r w:rsidR="006872BD">
        <w:t xml:space="preserve"> 2019</w:t>
      </w:r>
    </w:p>
    <w:p w14:paraId="33B56027" w14:textId="77777777" w:rsidR="00E15C57" w:rsidRDefault="00E15C57" w:rsidP="00E15C57">
      <w:pPr>
        <w:tabs>
          <w:tab w:val="right" w:leader="dot" w:pos="9296"/>
        </w:tabs>
        <w:spacing w:line="280" w:lineRule="exact"/>
      </w:pPr>
    </w:p>
    <w:p w14:paraId="50367ED3" w14:textId="77777777" w:rsidR="003179A0" w:rsidRPr="0010743E" w:rsidRDefault="005630D2" w:rsidP="003179A0">
      <w:pPr>
        <w:pStyle w:val="6"/>
        <w:spacing w:before="176"/>
        <w:rPr>
          <w:b/>
        </w:rPr>
      </w:pPr>
      <w:r w:rsidRPr="0010743E">
        <w:rPr>
          <w:b/>
        </w:rPr>
        <w:t>Introduction</w:t>
      </w:r>
    </w:p>
    <w:p w14:paraId="55AC4981" w14:textId="7B5FEB33" w:rsidR="008261F0" w:rsidRDefault="00F47533" w:rsidP="0010743E">
      <w:pPr>
        <w:pStyle w:val="31"/>
        <w:ind w:leftChars="0" w:firstLineChars="0" w:firstLine="0"/>
      </w:pPr>
      <w:r>
        <w:t xml:space="preserve">Japan welcomes the invitation to submit </w:t>
      </w:r>
      <w:r w:rsidR="0010743E">
        <w:t xml:space="preserve">views </w:t>
      </w:r>
      <w:r w:rsidR="0010743E" w:rsidRPr="0010743E">
        <w:t xml:space="preserve">on the matters related to the </w:t>
      </w:r>
      <w:r w:rsidR="0010743E">
        <w:t xml:space="preserve">transparency framework under the Paris Agreement in accordance with </w:t>
      </w:r>
      <w:r>
        <w:t xml:space="preserve">the SBSTA50 </w:t>
      </w:r>
      <w:r w:rsidR="0010743E">
        <w:t>c</w:t>
      </w:r>
      <w:r>
        <w:t>onclusions (FCCC/SBSTA/2019/2, para</w:t>
      </w:r>
      <w:r w:rsidR="00F401AD" w:rsidRPr="00974BFD">
        <w:t>graph</w:t>
      </w:r>
      <w:r w:rsidR="00F401AD">
        <w:t xml:space="preserve"> </w:t>
      </w:r>
      <w:r>
        <w:t>125)</w:t>
      </w:r>
      <w:r w:rsidR="0010743E">
        <w:t>,</w:t>
      </w:r>
      <w:r>
        <w:t xml:space="preserve"> and Japan submits its views</w:t>
      </w:r>
      <w:r w:rsidR="0010743E">
        <w:t>, including on</w:t>
      </w:r>
      <w:r>
        <w:t>:</w:t>
      </w:r>
    </w:p>
    <w:p w14:paraId="1CF85444" w14:textId="5E7B8C19" w:rsidR="0010743E" w:rsidRDefault="0010743E" w:rsidP="0010743E">
      <w:pPr>
        <w:pStyle w:val="31"/>
        <w:numPr>
          <w:ilvl w:val="0"/>
          <w:numId w:val="35"/>
        </w:numPr>
        <w:ind w:leftChars="0" w:firstLineChars="0"/>
      </w:pPr>
      <w:r>
        <w:t xml:space="preserve">Experience with using the IPCC </w:t>
      </w:r>
      <w:r w:rsidRPr="0010743E">
        <w:rPr>
          <w:i/>
        </w:rPr>
        <w:t>2006 IPCC Guidelines for National Greenhouse Gas Inventories</w:t>
      </w:r>
      <w:r>
        <w:t xml:space="preserve">, the common reporting format, the transition to the </w:t>
      </w:r>
      <w:r w:rsidRPr="0010743E">
        <w:rPr>
          <w:i/>
        </w:rPr>
        <w:t>2006 IPCC Guidelines for National Greenhouse Gas Inventories</w:t>
      </w:r>
      <w:r>
        <w:t xml:space="preserve"> and countries’ experience with that transition, and the development of country-specific tools for facilitating GHG inventory reporting;</w:t>
      </w:r>
    </w:p>
    <w:p w14:paraId="7DC58253" w14:textId="54D462D3" w:rsidR="0010743E" w:rsidRDefault="0010743E" w:rsidP="0010743E">
      <w:pPr>
        <w:pStyle w:val="31"/>
        <w:numPr>
          <w:ilvl w:val="0"/>
          <w:numId w:val="35"/>
        </w:numPr>
        <w:ind w:leftChars="0" w:firstLineChars="0"/>
      </w:pPr>
      <w:r>
        <w:t>Common tabular format tables for tracking progress in implementing and achieving nationally determined contributions;</w:t>
      </w:r>
    </w:p>
    <w:p w14:paraId="1D25B140" w14:textId="4AAF3AA8" w:rsidR="0010743E" w:rsidRDefault="0010743E" w:rsidP="0010743E">
      <w:pPr>
        <w:pStyle w:val="31"/>
        <w:numPr>
          <w:ilvl w:val="0"/>
          <w:numId w:val="35"/>
        </w:numPr>
        <w:ind w:leftChars="0" w:firstLineChars="0"/>
      </w:pPr>
      <w:r>
        <w:t>Tables for reporting on support needed and received, and support mobilized;</w:t>
      </w:r>
    </w:p>
    <w:p w14:paraId="3612C2E7" w14:textId="2016D6EA" w:rsidR="005630D2" w:rsidRDefault="0010743E" w:rsidP="0010743E">
      <w:pPr>
        <w:pStyle w:val="31"/>
        <w:numPr>
          <w:ilvl w:val="0"/>
          <w:numId w:val="35"/>
        </w:numPr>
        <w:ind w:leftChars="0" w:firstLineChars="0"/>
      </w:pPr>
      <w:r>
        <w:t>Approaches to operationalizing the flexibility for those developing country Parties that need it in the light of their capacities, as defined in decision 18/CMA.1.</w:t>
      </w:r>
    </w:p>
    <w:p w14:paraId="273F901F" w14:textId="77777777" w:rsidR="00451421" w:rsidRDefault="00451421" w:rsidP="00451421">
      <w:pPr>
        <w:pStyle w:val="31"/>
        <w:ind w:leftChars="0" w:left="885" w:firstLineChars="0" w:firstLine="0"/>
      </w:pPr>
    </w:p>
    <w:p w14:paraId="08CBD942" w14:textId="77777777" w:rsidR="008261F0" w:rsidRPr="0010743E" w:rsidRDefault="005630D2" w:rsidP="008261F0">
      <w:pPr>
        <w:pStyle w:val="6"/>
        <w:spacing w:before="176"/>
        <w:rPr>
          <w:b/>
        </w:rPr>
      </w:pPr>
      <w:r w:rsidRPr="0010743E">
        <w:rPr>
          <w:b/>
        </w:rPr>
        <w:t>View on each matter</w:t>
      </w:r>
    </w:p>
    <w:p w14:paraId="5F3550C7" w14:textId="77777777" w:rsidR="006872BD" w:rsidRPr="006872BD" w:rsidRDefault="006872BD" w:rsidP="006872BD">
      <w:pPr>
        <w:pStyle w:val="af4"/>
        <w:numPr>
          <w:ilvl w:val="0"/>
          <w:numId w:val="21"/>
        </w:numPr>
        <w:ind w:leftChars="0"/>
        <w:rPr>
          <w:b/>
          <w:u w:val="single"/>
        </w:rPr>
      </w:pPr>
      <w:r w:rsidRPr="006872BD">
        <w:rPr>
          <w:rFonts w:hint="eastAsia"/>
          <w:b/>
          <w:u w:val="single"/>
        </w:rPr>
        <w:t>Experience with using the Intergovernmental Panel on Climate Change 2006 IPCC Guidelines for National Greenhouse Gas Inventories, the common reporting format, the transition to the 2006 IPCC Guidelines for National Greenhouse Gas Inventories and countries' experience with that transition, and the development of country-specific tools for facilitating greenhouse gas inventory reporting, and other related matters</w:t>
      </w:r>
    </w:p>
    <w:p w14:paraId="37D0501E" w14:textId="676112A4" w:rsidR="006872BD" w:rsidRPr="00303CEE" w:rsidRDefault="006872BD" w:rsidP="006872BD">
      <w:pPr>
        <w:pStyle w:val="af4"/>
        <w:numPr>
          <w:ilvl w:val="0"/>
          <w:numId w:val="22"/>
        </w:numPr>
        <w:ind w:leftChars="0"/>
      </w:pPr>
      <w:r w:rsidRPr="00303CEE">
        <w:t xml:space="preserve">In Japan's case, preliminary estimations of the changes in emissions due to the application of the 2006 IPCC Guidelines were made and results were shared among people involved in the </w:t>
      </w:r>
      <w:r w:rsidR="00451421">
        <w:t xml:space="preserve">GHG </w:t>
      </w:r>
      <w:r w:rsidRPr="00303CEE">
        <w:t>inventor</w:t>
      </w:r>
      <w:r w:rsidR="005B56BB">
        <w:t>y</w:t>
      </w:r>
      <w:r w:rsidRPr="00303CEE">
        <w:t xml:space="preserve"> before the COP decision was taken to apply the 2006 IPCC Guidelines. The process to officially prepare to apply the 2006 IPCC Guidelines started in 2012 under the Committee</w:t>
      </w:r>
      <w:r>
        <w:t xml:space="preserve"> for Greenhouse Gas Emissions Estimation Methods</w:t>
      </w:r>
      <w:r w:rsidRPr="00303CEE">
        <w:t xml:space="preserve"> that considers and determines the methodology for emission estimation</w:t>
      </w:r>
      <w:r w:rsidR="00451421">
        <w:t xml:space="preserve"> for Japan’s national GHG inventor</w:t>
      </w:r>
      <w:r w:rsidR="005B56BB">
        <w:t>y</w:t>
      </w:r>
      <w:r w:rsidRPr="00303CEE">
        <w:t xml:space="preserve">. This followed the temporary decision taken on the UNFCCC inventory reporting guidelines (including the CRF tables) at COP17 (2011), which determined the use of the 2006 IPCC Guidelines. In order to gain the cooperation of stakeholders, notification of the changes and various consultations were also held. As regards the 2006 IPCC Guidelines itself, it provides more </w:t>
      </w:r>
      <w:r>
        <w:t xml:space="preserve">extensive </w:t>
      </w:r>
      <w:r w:rsidRPr="00303CEE">
        <w:t xml:space="preserve">guidance than the </w:t>
      </w:r>
      <w:r w:rsidRPr="00863E3C">
        <w:t xml:space="preserve">Revised 1996 IPCC Guidelines </w:t>
      </w:r>
      <w:r w:rsidRPr="00303CEE">
        <w:t xml:space="preserve">and </w:t>
      </w:r>
      <w:r>
        <w:t>Good Practice Guidance (</w:t>
      </w:r>
      <w:r w:rsidRPr="00303CEE">
        <w:t>GPG</w:t>
      </w:r>
      <w:r>
        <w:t>)</w:t>
      </w:r>
      <w:r w:rsidRPr="00303CEE">
        <w:t xml:space="preserve"> and was comprehensive and easy to use.</w:t>
      </w:r>
    </w:p>
    <w:p w14:paraId="4D9E5DA6" w14:textId="6771234E" w:rsidR="006872BD" w:rsidRPr="00303CEE" w:rsidRDefault="006872BD" w:rsidP="006872BD">
      <w:pPr>
        <w:pStyle w:val="af4"/>
        <w:numPr>
          <w:ilvl w:val="0"/>
          <w:numId w:val="22"/>
        </w:numPr>
        <w:ind w:leftChars="0"/>
      </w:pPr>
      <w:r w:rsidRPr="00303CEE">
        <w:t xml:space="preserve">In preparing the CRTs for </w:t>
      </w:r>
      <w:r w:rsidR="00451421">
        <w:t xml:space="preserve">GHG </w:t>
      </w:r>
      <w:r w:rsidRPr="00303CEE">
        <w:t>inventories that will be commonly used by all Parties, the CRF tables for</w:t>
      </w:r>
      <w:r w:rsidR="00451421">
        <w:t xml:space="preserve"> </w:t>
      </w:r>
      <w:r w:rsidRPr="00303CEE">
        <w:t xml:space="preserve">annual </w:t>
      </w:r>
      <w:r w:rsidR="00451421">
        <w:t xml:space="preserve">GHG </w:t>
      </w:r>
      <w:r w:rsidRPr="00303CEE">
        <w:t xml:space="preserve">inventories </w:t>
      </w:r>
      <w:r w:rsidR="00451421">
        <w:t xml:space="preserve">for Annex I Parties </w:t>
      </w:r>
      <w:r w:rsidRPr="00303CEE">
        <w:t>(including Sectoral Background Data Tables) should be the starting point of discussions, so as to maintain the quality of reporting under the current MRV framework, as specified in paragraph 3(f) of the MPGs (1/CMA.18, Annex).</w:t>
      </w:r>
    </w:p>
    <w:p w14:paraId="4F7B7F79" w14:textId="05AB1812" w:rsidR="006872BD" w:rsidRPr="008E04E9" w:rsidRDefault="006872BD" w:rsidP="006872BD">
      <w:pPr>
        <w:pStyle w:val="af4"/>
        <w:numPr>
          <w:ilvl w:val="0"/>
          <w:numId w:val="22"/>
        </w:numPr>
        <w:ind w:leftChars="0"/>
      </w:pPr>
      <w:r w:rsidRPr="00303CEE">
        <w:rPr>
          <w:rFonts w:hint="eastAsia"/>
        </w:rPr>
        <w:lastRenderedPageBreak/>
        <w:t>T</w:t>
      </w:r>
      <w:r w:rsidRPr="00924A01">
        <w:t xml:space="preserve">he National Inventory Report (comprised </w:t>
      </w:r>
      <w:r w:rsidRPr="008E04E9">
        <w:t>of the National Inventory Document and the Common Reporting Tables) under Article 13 of the Paris Agreement is a technical document that reports and explains quantit</w:t>
      </w:r>
      <w:r w:rsidRPr="00924A01">
        <w:t xml:space="preserve">ative and qualitative information on the </w:t>
      </w:r>
      <w:r w:rsidR="00451421" w:rsidRPr="00924A01">
        <w:t xml:space="preserve">GHG </w:t>
      </w:r>
      <w:r w:rsidRPr="00924A01">
        <w:t>inventor</w:t>
      </w:r>
      <w:r w:rsidR="005B56BB" w:rsidRPr="00924A01">
        <w:t>y</w:t>
      </w:r>
      <w:r w:rsidRPr="00924A01">
        <w:t xml:space="preserve"> internationally, but also domestically. It will mainly be prepared by a technical team inside each country and will be improved continuously. This document will collectively contain quantitative and qualitative information of the </w:t>
      </w:r>
      <w:r w:rsidR="00451421" w:rsidRPr="00924A01">
        <w:t xml:space="preserve">GHG </w:t>
      </w:r>
      <w:r w:rsidRPr="00924A01">
        <w:t>inventor</w:t>
      </w:r>
      <w:r w:rsidR="005B56BB" w:rsidRPr="00924A01">
        <w:t>y</w:t>
      </w:r>
      <w:r w:rsidRPr="00924A01">
        <w:t xml:space="preserve"> at the time of submission and will not only serve to fulfill reporting obligations under the transparency framework under the Paris Agreement, but will also function as </w:t>
      </w:r>
      <w:r w:rsidR="005B56BB" w:rsidRPr="00924A01">
        <w:t xml:space="preserve">a repository </w:t>
      </w:r>
      <w:r w:rsidRPr="008E04E9">
        <w:t xml:space="preserve">of information on </w:t>
      </w:r>
      <w:r w:rsidR="00451421" w:rsidRPr="008E04E9">
        <w:t xml:space="preserve">GHG </w:t>
      </w:r>
      <w:r w:rsidRPr="008E04E9">
        <w:t>inventory preparation even when the members of the technical teams change.</w:t>
      </w:r>
    </w:p>
    <w:p w14:paraId="4FD61A73" w14:textId="15E5E0AD" w:rsidR="006872BD" w:rsidRPr="008E04E9" w:rsidRDefault="006872BD" w:rsidP="006872BD">
      <w:pPr>
        <w:pStyle w:val="af4"/>
        <w:numPr>
          <w:ilvl w:val="0"/>
          <w:numId w:val="22"/>
        </w:numPr>
        <w:ind w:leftChars="0"/>
      </w:pPr>
      <w:r w:rsidRPr="008E04E9">
        <w:t>The Sectoral Background Data Tables in the current CRF t</w:t>
      </w:r>
      <w:r w:rsidRPr="00924A01">
        <w:t xml:space="preserve">ables are useful as a tool to collectively record detailed information on </w:t>
      </w:r>
      <w:r w:rsidR="00F401AD">
        <w:t xml:space="preserve">the </w:t>
      </w:r>
      <w:r w:rsidRPr="00924A01">
        <w:t xml:space="preserve">estimation of emissions and removals. When using the 2006 IPCC Guidelines’ worksheets or IPCC Inventory Software to estimate emissions and removals, data necessary to fill out the Sectoral Background Data Tables should be already available at hand, and therefore entering this data into the </w:t>
      </w:r>
      <w:r w:rsidR="005B56BB" w:rsidRPr="00924A01">
        <w:t>T</w:t>
      </w:r>
      <w:r w:rsidRPr="00924A01">
        <w:t xml:space="preserve">ables would be relatively easy. </w:t>
      </w:r>
      <w:r w:rsidR="006C7A34" w:rsidRPr="008E04E9">
        <w:t xml:space="preserve">It </w:t>
      </w:r>
      <w:r w:rsidRPr="00924A01">
        <w:t xml:space="preserve">should also </w:t>
      </w:r>
      <w:r w:rsidR="005B56BB" w:rsidRPr="00924A01">
        <w:t xml:space="preserve">be </w:t>
      </w:r>
      <w:r w:rsidRPr="00924A01">
        <w:t>note</w:t>
      </w:r>
      <w:r w:rsidR="006C7A34" w:rsidRPr="00924A01">
        <w:t>d</w:t>
      </w:r>
      <w:r w:rsidRPr="00924A01">
        <w:t xml:space="preserve"> that since Parties are required to report emissions and removals at the most disaggregated level in accordance with paragraph 47 of the MPGs, reporting of data contained in the Sectoral Background Data Tables is essential. Additionally, reporting of information in the Sectoral Background Data Tables is very useful in that they contain the details of the estimation methods for emissions and removals for each </w:t>
      </w:r>
      <w:r w:rsidR="006C7A34" w:rsidRPr="00924A01">
        <w:t xml:space="preserve">emission </w:t>
      </w:r>
      <w:r w:rsidRPr="00924A01">
        <w:t xml:space="preserve">source and </w:t>
      </w:r>
      <w:r w:rsidR="006C7A34" w:rsidRPr="00924A01">
        <w:t xml:space="preserve">removal </w:t>
      </w:r>
      <w:r w:rsidRPr="00924A01">
        <w:t>sink, and this will be useful in identifying specific capacity</w:t>
      </w:r>
      <w:r w:rsidR="006C7A34" w:rsidRPr="00924A01">
        <w:t>-</w:t>
      </w:r>
      <w:r w:rsidRPr="00924A01">
        <w:t xml:space="preserve">building needs during the </w:t>
      </w:r>
      <w:r w:rsidR="006C7A34" w:rsidRPr="00924A01">
        <w:t>t</w:t>
      </w:r>
      <w:r w:rsidRPr="00924A01">
        <w:t xml:space="preserve">echnical </w:t>
      </w:r>
      <w:r w:rsidR="006C7A34" w:rsidRPr="00924A01">
        <w:t>e</w:t>
      </w:r>
      <w:r w:rsidRPr="00924A01">
        <w:t xml:space="preserve">xpert </w:t>
      </w:r>
      <w:r w:rsidR="006C7A34" w:rsidRPr="00924A01">
        <w:t>r</w:t>
      </w:r>
      <w:r w:rsidRPr="00924A01">
        <w:t>eview</w:t>
      </w:r>
      <w:r w:rsidR="006C7A34" w:rsidRPr="00924A01">
        <w:t xml:space="preserve"> under the transparency framework</w:t>
      </w:r>
      <w:r w:rsidRPr="00924A01">
        <w:t xml:space="preserve">. </w:t>
      </w:r>
      <w:r w:rsidR="006827FA" w:rsidRPr="00924A01">
        <w:t>In addition to the cell structure of the tables, the current CRF tables have been useful in providing guidance through the footnotes on how to deal with complicated issues in GHG inventory reporting. Therefore, footnotes should also be utilized in providing supplemental guidance on reporting in the CRTs.</w:t>
      </w:r>
    </w:p>
    <w:p w14:paraId="63C19148" w14:textId="371D71E8" w:rsidR="006872BD" w:rsidRPr="00303CEE" w:rsidRDefault="006872BD" w:rsidP="006872BD">
      <w:pPr>
        <w:pStyle w:val="af4"/>
        <w:numPr>
          <w:ilvl w:val="0"/>
          <w:numId w:val="22"/>
        </w:numPr>
        <w:ind w:leftChars="0"/>
      </w:pPr>
      <w:r w:rsidRPr="00303CEE">
        <w:t xml:space="preserve">When reporting using the CRTs, it would not be desirable to submit with empty cells remaining. All cells </w:t>
      </w:r>
      <w:r w:rsidR="006C7A34">
        <w:t xml:space="preserve">should be filled </w:t>
      </w:r>
      <w:r w:rsidR="006432F0">
        <w:t xml:space="preserve">out </w:t>
      </w:r>
      <w:r w:rsidRPr="00303CEE">
        <w:t>by u</w:t>
      </w:r>
      <w:r w:rsidR="006C7A34">
        <w:t xml:space="preserve">sing appropriate </w:t>
      </w:r>
      <w:r w:rsidRPr="00303CEE">
        <w:t xml:space="preserve">notation keys. The notation key </w:t>
      </w:r>
      <w:r w:rsidR="006C7A34">
        <w:t>“</w:t>
      </w:r>
      <w:r w:rsidRPr="00303CEE">
        <w:t>NE</w:t>
      </w:r>
      <w:r w:rsidR="006C7A34">
        <w:t>”</w:t>
      </w:r>
      <w:r w:rsidRPr="00303CEE">
        <w:t xml:space="preserve"> (not estimated) would not only indicate the fact that no estimation was made for an emission</w:t>
      </w:r>
      <w:r w:rsidR="006C7A34">
        <w:t xml:space="preserve"> </w:t>
      </w:r>
      <w:r w:rsidR="006432F0">
        <w:t>or</w:t>
      </w:r>
      <w:r w:rsidR="006C7A34">
        <w:t xml:space="preserve"> </w:t>
      </w:r>
      <w:r w:rsidRPr="00303CEE">
        <w:t>removal, but it records an issue for the future</w:t>
      </w:r>
      <w:r w:rsidR="006C7A34">
        <w:t xml:space="preserve"> improvement</w:t>
      </w:r>
      <w:r w:rsidRPr="00303CEE">
        <w:t xml:space="preserve">. For instance, in Japan’s experience, we used to report </w:t>
      </w:r>
      <w:r w:rsidR="006C7A34">
        <w:t>“</w:t>
      </w:r>
      <w:r w:rsidRPr="00303CEE">
        <w:t>NE</w:t>
      </w:r>
      <w:r w:rsidR="006C7A34">
        <w:t>”</w:t>
      </w:r>
      <w:r w:rsidRPr="00303CEE">
        <w:t xml:space="preserve"> in many cells of the CRF</w:t>
      </w:r>
      <w:r>
        <w:t xml:space="preserve"> tables</w:t>
      </w:r>
      <w:r w:rsidRPr="00303CEE">
        <w:t xml:space="preserve"> due to reasons such as lack of default emission factor, etc. However, we would </w:t>
      </w:r>
      <w:r>
        <w:t xml:space="preserve">also </w:t>
      </w:r>
      <w:r w:rsidRPr="00303CEE">
        <w:t xml:space="preserve">list up these </w:t>
      </w:r>
      <w:r w:rsidR="006C7A34">
        <w:t>“</w:t>
      </w:r>
      <w:r w:rsidRPr="00303CEE">
        <w:t>NE</w:t>
      </w:r>
      <w:r w:rsidR="006C7A34">
        <w:t>”</w:t>
      </w:r>
      <w:r w:rsidRPr="00303CEE">
        <w:t xml:space="preserve"> </w:t>
      </w:r>
      <w:r w:rsidR="006C7A34">
        <w:t xml:space="preserve">emission </w:t>
      </w:r>
      <w:r w:rsidRPr="00303CEE">
        <w:t>sources</w:t>
      </w:r>
      <w:r w:rsidR="006C7A34">
        <w:t xml:space="preserve"> and removal </w:t>
      </w:r>
      <w:r w:rsidRPr="00303CEE">
        <w:t xml:space="preserve">sinks and prioritize among them, and </w:t>
      </w:r>
      <w:r>
        <w:t xml:space="preserve">work to </w:t>
      </w:r>
      <w:r w:rsidRPr="00303CEE">
        <w:t>gradually reduce the number</w:t>
      </w:r>
      <w:r>
        <w:t xml:space="preserve"> over time </w:t>
      </w:r>
      <w:r w:rsidRPr="00303CEE">
        <w:t>through literature review and development of country-specific emission factors, etc. Since continuous improvement is an important principle</w:t>
      </w:r>
      <w:r w:rsidR="006C7A34">
        <w:t xml:space="preserve"> </w:t>
      </w:r>
      <w:r w:rsidR="006C7A34" w:rsidRPr="00303CEE">
        <w:t xml:space="preserve">under </w:t>
      </w:r>
      <w:r w:rsidR="006C7A34">
        <w:t xml:space="preserve">the </w:t>
      </w:r>
      <w:r w:rsidR="006C7A34" w:rsidRPr="00303CEE">
        <w:t>transparency framework</w:t>
      </w:r>
      <w:r w:rsidR="006C7A34">
        <w:t xml:space="preserve"> of </w:t>
      </w:r>
      <w:r w:rsidR="006C7A34" w:rsidRPr="00303CEE">
        <w:t>the P</w:t>
      </w:r>
      <w:r w:rsidR="006C7A34">
        <w:t xml:space="preserve">aris </w:t>
      </w:r>
      <w:r w:rsidR="006C7A34" w:rsidRPr="00303CEE">
        <w:t>A</w:t>
      </w:r>
      <w:r w:rsidR="006C7A34">
        <w:t>greement</w:t>
      </w:r>
      <w:r w:rsidRPr="00303CEE">
        <w:t xml:space="preserve">, it is </w:t>
      </w:r>
      <w:r>
        <w:t>necessary</w:t>
      </w:r>
      <w:r w:rsidRPr="00303CEE">
        <w:t xml:space="preserve"> to clearly keep track of what issues need to be improved in the future, such as </w:t>
      </w:r>
      <w:r w:rsidR="006C7A34">
        <w:t xml:space="preserve">emission </w:t>
      </w:r>
      <w:r w:rsidRPr="00303CEE">
        <w:t xml:space="preserve">sources and </w:t>
      </w:r>
      <w:r w:rsidR="006C7A34">
        <w:t xml:space="preserve">removal </w:t>
      </w:r>
      <w:r w:rsidRPr="00303CEE">
        <w:t xml:space="preserve">sinks that are currently reported as </w:t>
      </w:r>
      <w:r w:rsidR="006C7A34">
        <w:t>“</w:t>
      </w:r>
      <w:r w:rsidRPr="00303CEE">
        <w:t>NE</w:t>
      </w:r>
      <w:r w:rsidR="006C7A34">
        <w:t>”</w:t>
      </w:r>
      <w:r w:rsidRPr="00303CEE">
        <w:t xml:space="preserve"> and </w:t>
      </w:r>
      <w:r w:rsidR="006C7A34">
        <w:t xml:space="preserve">continue to </w:t>
      </w:r>
      <w:r w:rsidRPr="00303CEE">
        <w:t>make efforts to improve on them.</w:t>
      </w:r>
    </w:p>
    <w:p w14:paraId="13EF5964" w14:textId="257941FC" w:rsidR="006872BD" w:rsidRPr="00303CEE" w:rsidRDefault="006872BD" w:rsidP="006872BD">
      <w:pPr>
        <w:pStyle w:val="af4"/>
        <w:numPr>
          <w:ilvl w:val="0"/>
          <w:numId w:val="22"/>
        </w:numPr>
        <w:ind w:leftChars="0"/>
      </w:pPr>
      <w:r w:rsidRPr="00303CEE">
        <w:rPr>
          <w:rFonts w:hint="eastAsia"/>
        </w:rPr>
        <w:t>E</w:t>
      </w:r>
      <w:r w:rsidRPr="00303CEE">
        <w:t xml:space="preserve">ven though the use of the </w:t>
      </w:r>
      <w:r w:rsidRPr="00863E3C">
        <w:t>2019 Refinement to the 2006 IPCC Guidelines</w:t>
      </w:r>
      <w:r w:rsidRPr="00303CEE">
        <w:t xml:space="preserve">, adopted at the IPCC49 Plenary </w:t>
      </w:r>
      <w:r w:rsidR="002E0D86">
        <w:t xml:space="preserve">held </w:t>
      </w:r>
      <w:r w:rsidR="002E0D86" w:rsidRPr="00303CEE">
        <w:t xml:space="preserve">in Kyoto </w:t>
      </w:r>
      <w:r w:rsidRPr="00303CEE">
        <w:t xml:space="preserve">in May 2019, will depend on </w:t>
      </w:r>
      <w:r w:rsidR="00FE24B2">
        <w:t xml:space="preserve">future </w:t>
      </w:r>
      <w:r w:rsidRPr="00303CEE">
        <w:t xml:space="preserve">negotiation outcomes and are not determined at present, options such as being able to add new categories from the 2019 Refinement </w:t>
      </w:r>
      <w:r>
        <w:t xml:space="preserve">as </w:t>
      </w:r>
      <w:r w:rsidRPr="00303CEE">
        <w:t>drop-downs in the CRT</w:t>
      </w:r>
      <w:r>
        <w:t>s</w:t>
      </w:r>
      <w:r w:rsidRPr="00303CEE">
        <w:t xml:space="preserve">, should be provided for Parties who wish </w:t>
      </w:r>
      <w:r>
        <w:t xml:space="preserve">to </w:t>
      </w:r>
      <w:r w:rsidRPr="00303CEE">
        <w:t>voluntarily apply the 2019 Refinement.</w:t>
      </w:r>
    </w:p>
    <w:p w14:paraId="604509D3" w14:textId="6DA4F4AA" w:rsidR="006872BD" w:rsidRPr="008B535B" w:rsidRDefault="006872BD" w:rsidP="006872BD">
      <w:pPr>
        <w:pStyle w:val="af4"/>
        <w:numPr>
          <w:ilvl w:val="0"/>
          <w:numId w:val="22"/>
        </w:numPr>
        <w:ind w:leftChars="0"/>
      </w:pPr>
      <w:r w:rsidRPr="00303CEE">
        <w:rPr>
          <w:rFonts w:hint="eastAsia"/>
        </w:rPr>
        <w:t>P</w:t>
      </w:r>
      <w:r w:rsidRPr="00303CEE">
        <w:t xml:space="preserve">reviously, when the CRF </w:t>
      </w:r>
      <w:r>
        <w:t xml:space="preserve">tables </w:t>
      </w:r>
      <w:r w:rsidRPr="00303CEE">
        <w:t xml:space="preserve">corresponding to GPG-LULUCF and </w:t>
      </w:r>
      <w:r>
        <w:t xml:space="preserve">the </w:t>
      </w:r>
      <w:r w:rsidRPr="00303CEE">
        <w:t xml:space="preserve">2006 IPCC Guidelines were prepared, the first version was adopted as a temporary version, and after several years of trial </w:t>
      </w:r>
      <w:r w:rsidRPr="00303CEE">
        <w:lastRenderedPageBreak/>
        <w:t>use by Parties</w:t>
      </w:r>
      <w:r w:rsidRPr="008B535B">
        <w:t>, they were checked, and problems were identified. After the problems were fixed, then they were finally adopted. This type of process utilized in SBSTA in the past has proven useful, sin</w:t>
      </w:r>
      <w:r w:rsidRPr="009A1540">
        <w:t xml:space="preserve">ce when inventory compilers actually start using the tables, issues unforeseen are sometimes identified. It would be useful if a similar approach is </w:t>
      </w:r>
      <w:r w:rsidR="006432F0" w:rsidRPr="009A1540">
        <w:t>adopted</w:t>
      </w:r>
      <w:r w:rsidRPr="008E04E9">
        <w:t xml:space="preserve"> this time as well.</w:t>
      </w:r>
    </w:p>
    <w:p w14:paraId="5396BBD8" w14:textId="1FAB26B0" w:rsidR="006872BD" w:rsidRPr="008B535B" w:rsidRDefault="006872BD" w:rsidP="006872BD">
      <w:pPr>
        <w:pStyle w:val="af4"/>
        <w:numPr>
          <w:ilvl w:val="0"/>
          <w:numId w:val="22"/>
        </w:numPr>
        <w:ind w:leftChars="0"/>
      </w:pPr>
      <w:r w:rsidRPr="008B535B">
        <w:t>The current CRF tables</w:t>
      </w:r>
      <w:r w:rsidR="008B535B" w:rsidRPr="008B535B">
        <w:t>,</w:t>
      </w:r>
      <w:r w:rsidRPr="008B535B">
        <w:t xml:space="preserve"> that should be the starting point of discussions for the CRTs</w:t>
      </w:r>
      <w:r w:rsidR="008B535B" w:rsidRPr="008B535B">
        <w:t>,</w:t>
      </w:r>
      <w:r w:rsidRPr="008B535B">
        <w:t xml:space="preserve"> have some issues that should be rectified, such as editorial and aggregation errors</w:t>
      </w:r>
      <w:r w:rsidR="00EE0DFE" w:rsidRPr="008B535B">
        <w:t xml:space="preserve"> </w:t>
      </w:r>
      <w:r w:rsidR="008B535B" w:rsidRPr="008B535B">
        <w:t>due to</w:t>
      </w:r>
      <w:r w:rsidR="00EE0DFE" w:rsidRPr="008B535B">
        <w:t xml:space="preserve"> limited </w:t>
      </w:r>
      <w:r w:rsidR="008B535B" w:rsidRPr="008B535B">
        <w:t xml:space="preserve">time during </w:t>
      </w:r>
      <w:r w:rsidR="00EE0DFE" w:rsidRPr="008B535B">
        <w:t>negotiation</w:t>
      </w:r>
      <w:r w:rsidR="008B535B" w:rsidRPr="008B535B">
        <w:t>s of</w:t>
      </w:r>
      <w:r w:rsidR="00EE0DFE" w:rsidRPr="008B535B">
        <w:t xml:space="preserve"> the CRF tables</w:t>
      </w:r>
      <w:r w:rsidRPr="008B535B">
        <w:t xml:space="preserve">, and issues that call for improvement based on </w:t>
      </w:r>
      <w:r w:rsidR="00F401AD">
        <w:t xml:space="preserve">the </w:t>
      </w:r>
      <w:r w:rsidRPr="008B535B">
        <w:t>experience of inventory compilation.</w:t>
      </w:r>
      <w:r w:rsidR="00FE24B2" w:rsidRPr="008B535B">
        <w:t xml:space="preserve"> Therefore, these issues should be modified in the CRTs.</w:t>
      </w:r>
    </w:p>
    <w:p w14:paraId="58B11F4A" w14:textId="15A84628" w:rsidR="006872BD" w:rsidRPr="00303CEE" w:rsidRDefault="00FE24B2" w:rsidP="006872BD">
      <w:pPr>
        <w:pStyle w:val="af4"/>
        <w:numPr>
          <w:ilvl w:val="0"/>
          <w:numId w:val="22"/>
        </w:numPr>
        <w:ind w:leftChars="0"/>
      </w:pPr>
      <w:r w:rsidRPr="008B535B">
        <w:t xml:space="preserve">The </w:t>
      </w:r>
      <w:r w:rsidR="006872BD" w:rsidRPr="008B535B">
        <w:rPr>
          <w:rFonts w:hint="eastAsia"/>
        </w:rPr>
        <w:t>C</w:t>
      </w:r>
      <w:r w:rsidR="006872BD" w:rsidRPr="008B535B">
        <w:t xml:space="preserve">RTs for </w:t>
      </w:r>
      <w:r w:rsidR="00573D17" w:rsidRPr="008B535B">
        <w:t xml:space="preserve">the </w:t>
      </w:r>
      <w:r w:rsidR="006872BD" w:rsidRPr="008B535B">
        <w:t xml:space="preserve">AFOLU </w:t>
      </w:r>
      <w:r w:rsidRPr="008B535B">
        <w:t xml:space="preserve">sector </w:t>
      </w:r>
      <w:r w:rsidR="006872BD" w:rsidRPr="008B535B">
        <w:t>need to be separated into Agriculture and LULUCF tables, following para</w:t>
      </w:r>
      <w:r w:rsidR="006872BD" w:rsidRPr="009A1540">
        <w:t>graph 50 of the MPGs. The current CRF provides separate</w:t>
      </w:r>
      <w:r w:rsidR="006872BD" w:rsidRPr="00303CEE">
        <w:t xml:space="preserve"> tables for Agriculture and LULUCF, but this was </w:t>
      </w:r>
      <w:r w:rsidR="006872BD">
        <w:t xml:space="preserve">somewhat </w:t>
      </w:r>
      <w:r w:rsidR="006872BD" w:rsidRPr="00303CEE">
        <w:t xml:space="preserve">based on considerations for consistency with </w:t>
      </w:r>
      <w:r w:rsidR="006872BD" w:rsidRPr="00CD5EE0">
        <w:t>the reporting under the first com</w:t>
      </w:r>
      <w:r w:rsidR="006872BD">
        <w:t>m</w:t>
      </w:r>
      <w:r w:rsidR="006872BD" w:rsidRPr="00CD5EE0">
        <w:t xml:space="preserve">itment period of the </w:t>
      </w:r>
      <w:r w:rsidR="006872BD" w:rsidRPr="00303CEE">
        <w:t xml:space="preserve">Kyoto Protocol that used GPG </w:t>
      </w:r>
      <w:r w:rsidR="006872BD">
        <w:t xml:space="preserve">2000 </w:t>
      </w:r>
      <w:r w:rsidR="006872BD" w:rsidRPr="00303CEE">
        <w:t>and GPG-LULUCF. Regarding the AFOLU sub-category ‘3.C Aggregated sources and non-CO</w:t>
      </w:r>
      <w:r w:rsidR="006872BD" w:rsidRPr="0010743E">
        <w:rPr>
          <w:vertAlign w:val="subscript"/>
        </w:rPr>
        <w:t>2</w:t>
      </w:r>
      <w:r w:rsidR="006872BD" w:rsidRPr="00303CEE">
        <w:t xml:space="preserve"> emission sources on land’ </w:t>
      </w:r>
      <w:r w:rsidR="006872BD">
        <w:t xml:space="preserve">in the 2006 IPCC Guidelines, </w:t>
      </w:r>
      <w:r w:rsidR="006872BD" w:rsidRPr="00303CEE">
        <w:t xml:space="preserve">it may be useful to consider </w:t>
      </w:r>
      <w:r w:rsidR="00C14416">
        <w:t>re-</w:t>
      </w:r>
      <w:r w:rsidR="006872BD">
        <w:t>allocating between Agriculture and LULUCF sectors for</w:t>
      </w:r>
      <w:r w:rsidR="006872BD" w:rsidRPr="00303CEE">
        <w:t xml:space="preserve"> GHG emissions from biomass, N</w:t>
      </w:r>
      <w:r w:rsidR="006872BD" w:rsidRPr="0010743E">
        <w:rPr>
          <w:vertAlign w:val="subscript"/>
        </w:rPr>
        <w:t>2</w:t>
      </w:r>
      <w:r w:rsidR="006872BD" w:rsidRPr="00303CEE">
        <w:t xml:space="preserve">O emissions from managed soil, GHG emissions from </w:t>
      </w:r>
      <w:r w:rsidR="00F401AD">
        <w:t xml:space="preserve">the </w:t>
      </w:r>
      <w:r w:rsidR="006872BD" w:rsidRPr="00303CEE">
        <w:t>tillage of organic soil, etc.</w:t>
      </w:r>
    </w:p>
    <w:p w14:paraId="1E0A4136" w14:textId="77777777" w:rsidR="006872BD" w:rsidRPr="00303CEE" w:rsidRDefault="006872BD" w:rsidP="006872BD">
      <w:pPr>
        <w:pStyle w:val="af4"/>
        <w:numPr>
          <w:ilvl w:val="0"/>
          <w:numId w:val="22"/>
        </w:numPr>
        <w:ind w:leftChars="0"/>
      </w:pPr>
      <w:r w:rsidRPr="00303CEE">
        <w:rPr>
          <w:rFonts w:hint="eastAsia"/>
        </w:rPr>
        <w:t>R</w:t>
      </w:r>
      <w:r w:rsidRPr="00303CEE">
        <w:t>egarding LULUCF-related reporting, reporting that addresses natural disturbance as stated in para</w:t>
      </w:r>
      <w:r>
        <w:t>graph</w:t>
      </w:r>
      <w:r w:rsidRPr="00303CEE">
        <w:t xml:space="preserve"> 55 of the MPGs and supplemental reporting of emissions and removals from HWPs using the production approach as stated in para</w:t>
      </w:r>
      <w:r>
        <w:t>graph</w:t>
      </w:r>
      <w:r w:rsidRPr="00303CEE">
        <w:t xml:space="preserve"> 56 of the MPGs are not fully included in the current CRF</w:t>
      </w:r>
      <w:r>
        <w:t xml:space="preserve"> tables</w:t>
      </w:r>
      <w:r w:rsidRPr="00303CEE">
        <w:t>, and therefore this would need to be reflected in the CRT</w:t>
      </w:r>
      <w:r>
        <w:t>s</w:t>
      </w:r>
      <w:r w:rsidRPr="00303CEE">
        <w:t xml:space="preserve">. As for reporting of emissions and removals from HWPs, it should be possible to choose which </w:t>
      </w:r>
      <w:r>
        <w:t>approach-based value</w:t>
      </w:r>
      <w:r w:rsidRPr="00303CEE">
        <w:t xml:space="preserve"> is used for aggregation for the sector/national totals.</w:t>
      </w:r>
    </w:p>
    <w:p w14:paraId="67BF812C" w14:textId="77777777" w:rsidR="00C75D50" w:rsidRPr="006872BD" w:rsidRDefault="00C75D50" w:rsidP="00C75D50">
      <w:pPr>
        <w:pStyle w:val="31"/>
        <w:ind w:leftChars="0" w:left="885" w:firstLineChars="0" w:firstLine="0"/>
      </w:pPr>
    </w:p>
    <w:p w14:paraId="38CB7317" w14:textId="762EDD38" w:rsidR="00D33E03" w:rsidRPr="00054F82" w:rsidRDefault="00D33E03" w:rsidP="00D33E03">
      <w:pPr>
        <w:pStyle w:val="31"/>
        <w:numPr>
          <w:ilvl w:val="0"/>
          <w:numId w:val="21"/>
        </w:numPr>
        <w:ind w:leftChars="0" w:firstLineChars="0"/>
        <w:rPr>
          <w:b/>
          <w:u w:val="single"/>
        </w:rPr>
      </w:pPr>
      <w:r w:rsidRPr="00054F82">
        <w:rPr>
          <w:b/>
          <w:u w:val="single"/>
        </w:rPr>
        <w:t xml:space="preserve">Common </w:t>
      </w:r>
      <w:r w:rsidR="0010743E">
        <w:rPr>
          <w:b/>
          <w:u w:val="single"/>
        </w:rPr>
        <w:t>tabular format</w:t>
      </w:r>
      <w:r w:rsidRPr="00054F82">
        <w:rPr>
          <w:b/>
          <w:u w:val="single"/>
        </w:rPr>
        <w:t xml:space="preserve"> tables </w:t>
      </w:r>
      <w:r w:rsidR="0010743E">
        <w:rPr>
          <w:b/>
          <w:u w:val="single"/>
        </w:rPr>
        <w:t xml:space="preserve">for </w:t>
      </w:r>
      <w:r w:rsidRPr="00054F82">
        <w:rPr>
          <w:b/>
          <w:u w:val="single"/>
        </w:rPr>
        <w:t>track</w:t>
      </w:r>
      <w:r w:rsidR="0010743E">
        <w:rPr>
          <w:b/>
          <w:u w:val="single"/>
        </w:rPr>
        <w:t>ing</w:t>
      </w:r>
      <w:r w:rsidRPr="00054F82">
        <w:rPr>
          <w:b/>
          <w:u w:val="single"/>
        </w:rPr>
        <w:t xml:space="preserve"> progress </w:t>
      </w:r>
      <w:r w:rsidR="0010743E">
        <w:rPr>
          <w:b/>
          <w:u w:val="single"/>
        </w:rPr>
        <w:t>in implementing and achieving NDCs</w:t>
      </w:r>
    </w:p>
    <w:p w14:paraId="700B07BA" w14:textId="0F1BA551" w:rsidR="0030572F" w:rsidRPr="0030572F" w:rsidRDefault="0010743E" w:rsidP="00A26E22">
      <w:pPr>
        <w:pStyle w:val="af4"/>
        <w:numPr>
          <w:ilvl w:val="0"/>
          <w:numId w:val="22"/>
        </w:numPr>
        <w:ind w:leftChars="0"/>
      </w:pPr>
      <w:r>
        <w:t xml:space="preserve">Japan believes that </w:t>
      </w:r>
      <w:r w:rsidR="0030572F">
        <w:t xml:space="preserve">all </w:t>
      </w:r>
      <w:r>
        <w:t>Parties</w:t>
      </w:r>
      <w:r w:rsidR="0030572F">
        <w:t xml:space="preserve"> need to report</w:t>
      </w:r>
      <w:r>
        <w:t xml:space="preserve"> </w:t>
      </w:r>
      <w:r w:rsidR="0030572F">
        <w:t xml:space="preserve">the progress </w:t>
      </w:r>
      <w:r>
        <w:t>towards</w:t>
      </w:r>
      <w:r w:rsidR="0030572F">
        <w:t xml:space="preserve"> </w:t>
      </w:r>
      <w:r>
        <w:t xml:space="preserve">the </w:t>
      </w:r>
      <w:r w:rsidR="0030572F">
        <w:t xml:space="preserve">implementation and </w:t>
      </w:r>
      <w:r w:rsidR="00F401AD">
        <w:t>a</w:t>
      </w:r>
      <w:r w:rsidR="0030572F">
        <w:t xml:space="preserve">chievement of </w:t>
      </w:r>
      <w:r>
        <w:t xml:space="preserve">their </w:t>
      </w:r>
      <w:r w:rsidR="0030572F">
        <w:t>NDC</w:t>
      </w:r>
      <w:r>
        <w:t>s</w:t>
      </w:r>
      <w:r w:rsidR="0030572F">
        <w:t xml:space="preserve"> </w:t>
      </w:r>
      <w:r w:rsidR="00A26E22">
        <w:rPr>
          <w:rFonts w:hint="eastAsia"/>
        </w:rPr>
        <w:t xml:space="preserve">under Article 4 </w:t>
      </w:r>
      <w:r>
        <w:t xml:space="preserve">as </w:t>
      </w:r>
      <w:r w:rsidR="0030572F">
        <w:t>transparent</w:t>
      </w:r>
      <w:r>
        <w:t>ly as possible under the transparency framework of the Paris Agreement</w:t>
      </w:r>
      <w:r w:rsidR="0030572F">
        <w:t xml:space="preserve">. </w:t>
      </w:r>
      <w:r w:rsidR="00A26E22">
        <w:rPr>
          <w:rFonts w:hint="eastAsia"/>
        </w:rPr>
        <w:t>T</w:t>
      </w:r>
      <w:r w:rsidR="0030572F">
        <w:t xml:space="preserve">he common </w:t>
      </w:r>
      <w:r>
        <w:t>tabular format (CTF) t</w:t>
      </w:r>
      <w:r w:rsidR="0030572F">
        <w:t xml:space="preserve">ables for tracking progress </w:t>
      </w:r>
      <w:r w:rsidR="00593F46">
        <w:t xml:space="preserve">made </w:t>
      </w:r>
      <w:r>
        <w:t xml:space="preserve">in implementing and achieving </w:t>
      </w:r>
      <w:r w:rsidR="0030572F">
        <w:t>NDC</w:t>
      </w:r>
      <w:r>
        <w:t>s</w:t>
      </w:r>
      <w:r w:rsidR="0030572F">
        <w:t xml:space="preserve"> should </w:t>
      </w:r>
      <w:r w:rsidR="00A26E22">
        <w:t>accommodate</w:t>
      </w:r>
      <w:r w:rsidR="0030572F">
        <w:t xml:space="preserve"> all </w:t>
      </w:r>
      <w:r w:rsidR="00F401AD">
        <w:t xml:space="preserve">types of </w:t>
      </w:r>
      <w:r w:rsidR="0030572F">
        <w:t>NDC</w:t>
      </w:r>
      <w:r>
        <w:t>s</w:t>
      </w:r>
      <w:r w:rsidR="00A26E22">
        <w:rPr>
          <w:rFonts w:hint="eastAsia"/>
        </w:rPr>
        <w:t xml:space="preserve"> under Article 4, as appropriate</w:t>
      </w:r>
      <w:r w:rsidR="0030572F">
        <w:t>.</w:t>
      </w:r>
      <w:r w:rsidR="00A26E22">
        <w:rPr>
          <w:rFonts w:hint="eastAsia"/>
        </w:rPr>
        <w:t xml:space="preserve"> In </w:t>
      </w:r>
      <w:r w:rsidR="00A26E22">
        <w:t>addition</w:t>
      </w:r>
      <w:r w:rsidR="00A26E22">
        <w:rPr>
          <w:rFonts w:hint="eastAsia"/>
        </w:rPr>
        <w:t xml:space="preserve"> </w:t>
      </w:r>
      <w:r w:rsidR="00A26E22">
        <w:t>to the</w:t>
      </w:r>
      <w:r w:rsidR="00A26E22">
        <w:rPr>
          <w:rFonts w:hint="eastAsia"/>
        </w:rPr>
        <w:t xml:space="preserve"> reporting of the information in a tabular format, the reporting in </w:t>
      </w:r>
      <w:r w:rsidR="00A26E22">
        <w:t>narrative</w:t>
      </w:r>
      <w:r w:rsidR="00A26E22">
        <w:rPr>
          <w:rFonts w:hint="eastAsia"/>
        </w:rPr>
        <w:t xml:space="preserve"> form is also helpful to enhance the transparency of the information on </w:t>
      </w:r>
      <w:r w:rsidR="00A26E22">
        <w:t xml:space="preserve">the progress towards the implementation and achievement of their NDCs </w:t>
      </w:r>
      <w:r w:rsidR="00A26E22">
        <w:rPr>
          <w:rFonts w:hint="eastAsia"/>
        </w:rPr>
        <w:t>under Article 4.</w:t>
      </w:r>
    </w:p>
    <w:p w14:paraId="72346A9F" w14:textId="0270957B" w:rsidR="00B40685" w:rsidRDefault="0026536E" w:rsidP="00054F82">
      <w:pPr>
        <w:pStyle w:val="31"/>
        <w:numPr>
          <w:ilvl w:val="0"/>
          <w:numId w:val="22"/>
        </w:numPr>
        <w:ind w:leftChars="0" w:firstLineChars="0"/>
      </w:pPr>
      <w:r>
        <w:t>The reporting table</w:t>
      </w:r>
      <w:r w:rsidR="00593F46">
        <w:t>s</w:t>
      </w:r>
      <w:r>
        <w:t xml:space="preserve"> </w:t>
      </w:r>
      <w:r w:rsidR="00593F46">
        <w:t>for reporting the information required in s</w:t>
      </w:r>
      <w:r>
        <w:t>ection III.C (</w:t>
      </w:r>
      <w:r w:rsidR="00593F46">
        <w:t>I</w:t>
      </w:r>
      <w:r>
        <w:t xml:space="preserve">nformation </w:t>
      </w:r>
      <w:r w:rsidR="00593F46">
        <w:t xml:space="preserve">necessary to </w:t>
      </w:r>
      <w:r>
        <w:t xml:space="preserve">track progress </w:t>
      </w:r>
      <w:r w:rsidR="00593F46">
        <w:t xml:space="preserve">made in implementing </w:t>
      </w:r>
      <w:r w:rsidR="007C6D25">
        <w:rPr>
          <w:rFonts w:hint="eastAsia"/>
        </w:rPr>
        <w:t>and</w:t>
      </w:r>
      <w:r>
        <w:t xml:space="preserve"> </w:t>
      </w:r>
      <w:r w:rsidR="00593F46">
        <w:t>a</w:t>
      </w:r>
      <w:r>
        <w:t>chiev</w:t>
      </w:r>
      <w:r w:rsidR="00593F46">
        <w:t xml:space="preserve">ing its </w:t>
      </w:r>
      <w:r>
        <w:t>NDC under Article</w:t>
      </w:r>
      <w:r w:rsidR="00593F46">
        <w:t xml:space="preserve"> 4 of the Paris Agreement</w:t>
      </w:r>
      <w:r w:rsidR="00F6772F">
        <w:rPr>
          <w:rFonts w:hint="eastAsia"/>
        </w:rPr>
        <w:t>)</w:t>
      </w:r>
      <w:r>
        <w:t xml:space="preserve"> </w:t>
      </w:r>
      <w:r w:rsidR="00593F46">
        <w:t xml:space="preserve">of the MPGs should include, </w:t>
      </w:r>
      <w:r>
        <w:t>at least</w:t>
      </w:r>
      <w:r w:rsidR="00593F46">
        <w:t>,</w:t>
      </w:r>
      <w:r>
        <w:t xml:space="preserve"> </w:t>
      </w:r>
      <w:r w:rsidR="00593F46">
        <w:t xml:space="preserve">the following </w:t>
      </w:r>
      <w:r>
        <w:t xml:space="preserve">three tables: i) </w:t>
      </w:r>
      <w:r w:rsidR="00593F46">
        <w:t>M</w:t>
      </w:r>
      <w:r>
        <w:t>ethodolog</w:t>
      </w:r>
      <w:r w:rsidR="00593F46">
        <w:t xml:space="preserve">ies, </w:t>
      </w:r>
      <w:r>
        <w:t>accounting approach</w:t>
      </w:r>
      <w:r w:rsidR="00593F46">
        <w:t>es</w:t>
      </w:r>
      <w:r>
        <w:t xml:space="preserve"> and definitions of NDC and indicators; ii) </w:t>
      </w:r>
      <w:r w:rsidR="00593F46">
        <w:t>A</w:t>
      </w:r>
      <w:r>
        <w:t xml:space="preserve">ccounting for </w:t>
      </w:r>
      <w:r w:rsidR="00593F46">
        <w:t xml:space="preserve">tracking </w:t>
      </w:r>
      <w:r>
        <w:t xml:space="preserve">progress </w:t>
      </w:r>
      <w:r w:rsidR="00593F46">
        <w:t xml:space="preserve">made in implementing and achieving </w:t>
      </w:r>
      <w:r>
        <w:t>of NDC under Article 4</w:t>
      </w:r>
      <w:r w:rsidR="00593F46">
        <w:t xml:space="preserve"> </w:t>
      </w:r>
      <w:r w:rsidR="00F6772F">
        <w:t>(</w:t>
      </w:r>
      <w:r w:rsidR="00593F46">
        <w:t>S</w:t>
      </w:r>
      <w:r w:rsidR="00F6772F">
        <w:t>tructure</w:t>
      </w:r>
      <w:r w:rsidR="006872BD">
        <w:rPr>
          <w:rFonts w:hint="eastAsia"/>
        </w:rPr>
        <w:t>d</w:t>
      </w:r>
      <w:r w:rsidR="00F6772F">
        <w:t xml:space="preserve"> summary)</w:t>
      </w:r>
      <w:r>
        <w:t xml:space="preserve">; </w:t>
      </w:r>
      <w:r w:rsidR="00593F46">
        <w:t xml:space="preserve">and </w:t>
      </w:r>
      <w:r>
        <w:t xml:space="preserve">iii) </w:t>
      </w:r>
      <w:r w:rsidR="00593F46">
        <w:t xml:space="preserve">Information on </w:t>
      </w:r>
      <w:r w:rsidR="00F6772F">
        <w:rPr>
          <w:rFonts w:hint="eastAsia"/>
        </w:rPr>
        <w:t xml:space="preserve">ITMOs. </w:t>
      </w:r>
      <w:r>
        <w:t xml:space="preserve">In addition, </w:t>
      </w:r>
      <w:r w:rsidR="00F401AD">
        <w:rPr>
          <w:rFonts w:hint="eastAsia"/>
        </w:rPr>
        <w:t>a</w:t>
      </w:r>
      <w:r w:rsidR="00F401AD">
        <w:t xml:space="preserve"> </w:t>
      </w:r>
      <w:r>
        <w:t xml:space="preserve">reporting table </w:t>
      </w:r>
      <w:r w:rsidR="00593F46">
        <w:t xml:space="preserve">for </w:t>
      </w:r>
      <w:r w:rsidR="007A61B9">
        <w:t>iv) Information on c</w:t>
      </w:r>
      <w:r>
        <w:t xml:space="preserve">ontribution </w:t>
      </w:r>
      <w:r w:rsidR="00593F46">
        <w:t>from</w:t>
      </w:r>
      <w:r>
        <w:t xml:space="preserve"> LULUCF may be added.</w:t>
      </w:r>
    </w:p>
    <w:p w14:paraId="5FEB3FEF" w14:textId="3E2C407C" w:rsidR="0030572F" w:rsidRPr="00974BFD" w:rsidRDefault="0030572F" w:rsidP="00054F82">
      <w:pPr>
        <w:pStyle w:val="31"/>
        <w:numPr>
          <w:ilvl w:val="0"/>
          <w:numId w:val="22"/>
        </w:numPr>
        <w:ind w:leftChars="0" w:firstLineChars="0"/>
      </w:pPr>
      <w:r w:rsidRPr="00974BFD">
        <w:t xml:space="preserve">In the table of </w:t>
      </w:r>
      <w:r w:rsidR="00593F46">
        <w:t>i) M</w:t>
      </w:r>
      <w:r w:rsidRPr="00974BFD">
        <w:t xml:space="preserve">ethodologies, accounting approaches and definitions </w:t>
      </w:r>
      <w:r w:rsidR="00593F46">
        <w:t>of</w:t>
      </w:r>
      <w:r w:rsidR="00F6772F" w:rsidRPr="00974BFD">
        <w:t xml:space="preserve"> </w:t>
      </w:r>
      <w:r w:rsidRPr="00974BFD">
        <w:t>NDCs and indicators, it is important to clearly identify and report indicator</w:t>
      </w:r>
      <w:r w:rsidR="00593F46">
        <w:t>(</w:t>
      </w:r>
      <w:r w:rsidRPr="00974BFD">
        <w:t>s</w:t>
      </w:r>
      <w:r w:rsidR="00593F46">
        <w:t>)</w:t>
      </w:r>
      <w:r w:rsidRPr="00974BFD">
        <w:t xml:space="preserve"> for tracking progress toward implementation and achievement of NDCs under Article 4, in accordance with paragraph 65 of the MPGs.</w:t>
      </w:r>
      <w:r w:rsidR="00593F46">
        <w:t xml:space="preserve"> Also,</w:t>
      </w:r>
      <w:r w:rsidRPr="00974BFD">
        <w:t xml:space="preserve"> </w:t>
      </w:r>
      <w:r w:rsidR="00593F46">
        <w:t xml:space="preserve">it </w:t>
      </w:r>
      <w:r w:rsidR="00593F46">
        <w:lastRenderedPageBreak/>
        <w:t xml:space="preserve">is essential to report the relevant information on NDC under Article 4 and </w:t>
      </w:r>
      <w:r w:rsidRPr="00974BFD">
        <w:t>selected indicator</w:t>
      </w:r>
      <w:r w:rsidR="00593F46">
        <w:t>(</w:t>
      </w:r>
      <w:r w:rsidRPr="00974BFD">
        <w:t>s</w:t>
      </w:r>
      <w:r w:rsidR="00593F46">
        <w:t>)</w:t>
      </w:r>
      <w:r w:rsidRPr="00974BFD">
        <w:t xml:space="preserve"> in accordance with paragraphs 67 and 71-76 of the MPGs.</w:t>
      </w:r>
    </w:p>
    <w:p w14:paraId="20C1D624" w14:textId="05842351" w:rsidR="0093096F" w:rsidRDefault="00593F46" w:rsidP="00054F82">
      <w:pPr>
        <w:pStyle w:val="31"/>
        <w:numPr>
          <w:ilvl w:val="0"/>
          <w:numId w:val="22"/>
        </w:numPr>
        <w:ind w:leftChars="0" w:firstLineChars="0"/>
      </w:pPr>
      <w:r>
        <w:t xml:space="preserve">In the table of </w:t>
      </w:r>
      <w:r w:rsidR="0030572F" w:rsidRPr="00974BFD">
        <w:t xml:space="preserve">ii) Accounting for </w:t>
      </w:r>
      <w:r>
        <w:t xml:space="preserve">tracking </w:t>
      </w:r>
      <w:r w:rsidR="0030572F" w:rsidRPr="00974BFD">
        <w:t>progress</w:t>
      </w:r>
      <w:r>
        <w:t xml:space="preserve"> made in implementing and </w:t>
      </w:r>
      <w:r w:rsidR="0030572F" w:rsidRPr="00974BFD">
        <w:t>achievement of NDCs under Article 4 (Structur</w:t>
      </w:r>
      <w:r>
        <w:t>ed</w:t>
      </w:r>
      <w:r w:rsidR="0030572F" w:rsidRPr="00974BFD">
        <w:t xml:space="preserve"> </w:t>
      </w:r>
      <w:r>
        <w:t>s</w:t>
      </w:r>
      <w:r w:rsidR="0030572F" w:rsidRPr="00974BFD">
        <w:t>ummary)</w:t>
      </w:r>
      <w:r w:rsidR="0093096F">
        <w:t xml:space="preserve">, the information on </w:t>
      </w:r>
      <w:r w:rsidR="0030572F" w:rsidRPr="00974BFD">
        <w:t xml:space="preserve">the </w:t>
      </w:r>
      <w:r w:rsidR="0093096F">
        <w:t xml:space="preserve">reference point(s), level(s), baseline(s), base year(s), </w:t>
      </w:r>
      <w:r w:rsidR="0030572F" w:rsidRPr="00974BFD">
        <w:t>starting point</w:t>
      </w:r>
      <w:r w:rsidR="0093096F">
        <w:t xml:space="preserve">(s) for </w:t>
      </w:r>
      <w:r w:rsidR="0030572F" w:rsidRPr="00974BFD">
        <w:t>all selected indicator</w:t>
      </w:r>
      <w:r w:rsidR="0093096F">
        <w:t>(</w:t>
      </w:r>
      <w:r w:rsidR="0030572F" w:rsidRPr="00974BFD">
        <w:t>s</w:t>
      </w:r>
      <w:r w:rsidR="0093096F">
        <w:t>)</w:t>
      </w:r>
      <w:r w:rsidR="0030572F" w:rsidRPr="00974BFD">
        <w:t xml:space="preserve">, </w:t>
      </w:r>
      <w:r w:rsidR="0093096F">
        <w:t xml:space="preserve">and the information for </w:t>
      </w:r>
      <w:r w:rsidR="0030572F" w:rsidRPr="00974BFD">
        <w:t>previous reporting year</w:t>
      </w:r>
      <w:r w:rsidR="0093096F">
        <w:t xml:space="preserve">s as well as </w:t>
      </w:r>
      <w:r w:rsidR="00F401AD">
        <w:t xml:space="preserve">the </w:t>
      </w:r>
      <w:r w:rsidR="0093096F">
        <w:t xml:space="preserve">most recent </w:t>
      </w:r>
      <w:r w:rsidR="0030572F" w:rsidRPr="00974BFD">
        <w:t xml:space="preserve">year </w:t>
      </w:r>
      <w:r w:rsidR="0093096F" w:rsidRPr="00974BFD">
        <w:t xml:space="preserve">should </w:t>
      </w:r>
      <w:r w:rsidR="0093096F">
        <w:t xml:space="preserve">be </w:t>
      </w:r>
      <w:r w:rsidR="0093096F" w:rsidRPr="00974BFD">
        <w:t>report</w:t>
      </w:r>
      <w:r w:rsidR="0093096F">
        <w:t>ed</w:t>
      </w:r>
      <w:r w:rsidR="0093096F" w:rsidRPr="00974BFD">
        <w:t xml:space="preserve"> </w:t>
      </w:r>
      <w:r w:rsidR="0030572F" w:rsidRPr="00974BFD">
        <w:t xml:space="preserve">in accordance with </w:t>
      </w:r>
      <w:r w:rsidR="009F6499">
        <w:rPr>
          <w:rFonts w:hint="eastAsia"/>
        </w:rPr>
        <w:t>p</w:t>
      </w:r>
      <w:r w:rsidR="0030572F" w:rsidRPr="00974BFD">
        <w:t xml:space="preserve">aragraph 77 of the MPGs. In addition, it is important to </w:t>
      </w:r>
      <w:r w:rsidR="0093096F">
        <w:t xml:space="preserve">clearly indicate net GHG emissions consistent with the coverage of its NDC under Article 4 </w:t>
      </w:r>
      <w:r w:rsidR="00F401AD">
        <w:t xml:space="preserve">considering the </w:t>
      </w:r>
      <w:r w:rsidR="0093096F">
        <w:t xml:space="preserve">corresponding adjustments </w:t>
      </w:r>
      <w:r w:rsidR="00F401AD">
        <w:t>of</w:t>
      </w:r>
      <w:r w:rsidR="00D64FB0" w:rsidRPr="00D64FB0">
        <w:rPr>
          <w:rFonts w:hint="eastAsia"/>
        </w:rPr>
        <w:t xml:space="preserve"> </w:t>
      </w:r>
      <w:r w:rsidR="00D64FB0">
        <w:rPr>
          <w:rFonts w:hint="eastAsia"/>
        </w:rPr>
        <w:t>internationally</w:t>
      </w:r>
      <w:r w:rsidR="00D64FB0">
        <w:t xml:space="preserve"> transferred </w:t>
      </w:r>
      <w:r w:rsidR="00D64FB0">
        <w:rPr>
          <w:rFonts w:hint="eastAsia"/>
        </w:rPr>
        <w:t>mitigation</w:t>
      </w:r>
      <w:r w:rsidR="00D64FB0">
        <w:t xml:space="preserve"> </w:t>
      </w:r>
      <w:r w:rsidR="00D64FB0">
        <w:rPr>
          <w:rFonts w:hint="eastAsia"/>
        </w:rPr>
        <w:t>outcomes</w:t>
      </w:r>
      <w:r w:rsidR="00D64FB0">
        <w:t xml:space="preserve"> </w:t>
      </w:r>
      <w:r w:rsidR="00D64FB0">
        <w:rPr>
          <w:rFonts w:hint="eastAsia"/>
        </w:rPr>
        <w:t>(</w:t>
      </w:r>
      <w:r w:rsidR="00D64FB0">
        <w:t>ITMOs</w:t>
      </w:r>
      <w:r w:rsidR="00D64FB0">
        <w:rPr>
          <w:rFonts w:hint="eastAsia"/>
        </w:rPr>
        <w:t>)</w:t>
      </w:r>
      <w:r w:rsidR="00D64FB0">
        <w:t xml:space="preserve"> </w:t>
      </w:r>
      <w:r w:rsidR="00D64FB0">
        <w:rPr>
          <w:rFonts w:hint="eastAsia"/>
        </w:rPr>
        <w:t>including</w:t>
      </w:r>
      <w:r w:rsidR="00D64FB0">
        <w:t xml:space="preserve"> </w:t>
      </w:r>
      <w:r w:rsidR="00D64FB0">
        <w:rPr>
          <w:rFonts w:hint="eastAsia"/>
        </w:rPr>
        <w:t>emission</w:t>
      </w:r>
      <w:r w:rsidR="00D64FB0">
        <w:t xml:space="preserve"> </w:t>
      </w:r>
      <w:r w:rsidR="00D64FB0">
        <w:rPr>
          <w:rFonts w:hint="eastAsia"/>
        </w:rPr>
        <w:t>reductions</w:t>
      </w:r>
      <w:r w:rsidR="00D64FB0">
        <w:t xml:space="preserve"> </w:t>
      </w:r>
      <w:r w:rsidR="00D64FB0">
        <w:rPr>
          <w:rFonts w:hint="eastAsia"/>
        </w:rPr>
        <w:t>from</w:t>
      </w:r>
      <w:r w:rsidR="00D64FB0">
        <w:t xml:space="preserve"> </w:t>
      </w:r>
      <w:r w:rsidR="00D64FB0">
        <w:rPr>
          <w:rFonts w:hint="eastAsia"/>
        </w:rPr>
        <w:t>the</w:t>
      </w:r>
      <w:r w:rsidR="00D64FB0">
        <w:t xml:space="preserve"> </w:t>
      </w:r>
      <w:r w:rsidR="00D64FB0">
        <w:rPr>
          <w:rFonts w:hint="eastAsia"/>
        </w:rPr>
        <w:t>mechanism</w:t>
      </w:r>
      <w:r w:rsidR="00D64FB0">
        <w:t xml:space="preserve"> referred </w:t>
      </w:r>
      <w:r w:rsidR="00D64FB0">
        <w:rPr>
          <w:rFonts w:hint="eastAsia"/>
        </w:rPr>
        <w:t>to</w:t>
      </w:r>
      <w:r w:rsidR="00D64FB0">
        <w:t xml:space="preserve"> </w:t>
      </w:r>
      <w:r w:rsidR="00D64FB0">
        <w:rPr>
          <w:rFonts w:hint="eastAsia"/>
        </w:rPr>
        <w:t>in</w:t>
      </w:r>
      <w:r w:rsidR="00D64FB0">
        <w:t xml:space="preserve"> </w:t>
      </w:r>
      <w:r w:rsidR="00D64FB0">
        <w:rPr>
          <w:rFonts w:hint="eastAsia"/>
        </w:rPr>
        <w:t>Article</w:t>
      </w:r>
      <w:r w:rsidR="00D64FB0">
        <w:t xml:space="preserve"> </w:t>
      </w:r>
      <w:r w:rsidR="00D64FB0">
        <w:rPr>
          <w:rFonts w:hint="eastAsia"/>
        </w:rPr>
        <w:t xml:space="preserve">6.4 </w:t>
      </w:r>
      <w:r w:rsidR="00D64FB0">
        <w:t xml:space="preserve">if a Party uses </w:t>
      </w:r>
      <w:r w:rsidR="00D64FB0">
        <w:rPr>
          <w:rFonts w:hint="eastAsia"/>
        </w:rPr>
        <w:t>those</w:t>
      </w:r>
      <w:r w:rsidR="00D64FB0">
        <w:t xml:space="preserve"> to achieve its NDC</w:t>
      </w:r>
      <w:r w:rsidR="0093096F">
        <w:t xml:space="preserve">, and </w:t>
      </w:r>
      <w:r w:rsidR="00F401AD">
        <w:t xml:space="preserve">the </w:t>
      </w:r>
      <w:r w:rsidR="0093096F">
        <w:t xml:space="preserve">contributions from LULUCF if a Party </w:t>
      </w:r>
      <w:r w:rsidR="00223BC5">
        <w:t>take</w:t>
      </w:r>
      <w:r w:rsidR="00F401AD">
        <w:t>s</w:t>
      </w:r>
      <w:r w:rsidR="00223BC5">
        <w:t xml:space="preserve"> into account contributions from LULUCF </w:t>
      </w:r>
      <w:r w:rsidR="002B49A2">
        <w:t>separately</w:t>
      </w:r>
      <w:r w:rsidR="006E4804">
        <w:t xml:space="preserve"> from other sectors of GHG inventories</w:t>
      </w:r>
      <w:r w:rsidR="00F401AD">
        <w:t xml:space="preserve"> with a view to tracking progress of its NDC objectively</w:t>
      </w:r>
      <w:r w:rsidR="006E4804">
        <w:t>.</w:t>
      </w:r>
    </w:p>
    <w:p w14:paraId="3580AAD3" w14:textId="5717657D" w:rsidR="00974BFD" w:rsidRPr="00E02681" w:rsidRDefault="00A87862" w:rsidP="00F401AD">
      <w:pPr>
        <w:pStyle w:val="31"/>
        <w:numPr>
          <w:ilvl w:val="0"/>
          <w:numId w:val="22"/>
        </w:numPr>
        <w:ind w:leftChars="0" w:firstLineChars="0"/>
      </w:pPr>
      <w:r w:rsidRPr="00E02681">
        <w:t xml:space="preserve">The reporting table for </w:t>
      </w:r>
      <w:r w:rsidR="006E4804">
        <w:t xml:space="preserve">iii) Information on </w:t>
      </w:r>
      <w:r w:rsidRPr="00E02681">
        <w:t xml:space="preserve">ITMOs </w:t>
      </w:r>
      <w:r w:rsidR="00F401AD">
        <w:t>should include the reporting of the information prescribed in para</w:t>
      </w:r>
      <w:r w:rsidR="00F401AD" w:rsidRPr="00974BFD">
        <w:t>graph</w:t>
      </w:r>
      <w:r w:rsidR="00F401AD">
        <w:t xml:space="preserve"> 77(d) of the MPG. Additional information or tables may be necessary, and they </w:t>
      </w:r>
      <w:r w:rsidRPr="00E02681">
        <w:t xml:space="preserve">should be </w:t>
      </w:r>
      <w:r w:rsidR="00F401AD">
        <w:t xml:space="preserve">considered and </w:t>
      </w:r>
      <w:r w:rsidR="006E4804">
        <w:t xml:space="preserve">developed under </w:t>
      </w:r>
      <w:r w:rsidRPr="00E02681">
        <w:t>the SBSTA agenda</w:t>
      </w:r>
      <w:r w:rsidR="006E4804">
        <w:t xml:space="preserve"> item of “</w:t>
      </w:r>
      <w:r w:rsidR="006E4804" w:rsidRPr="006E4804">
        <w:t>Matters relating to Article 6 of the Paris Agreement</w:t>
      </w:r>
      <w:r w:rsidR="006E4804">
        <w:t>”</w:t>
      </w:r>
      <w:r w:rsidR="00F401AD">
        <w:t>, if necessary. T</w:t>
      </w:r>
      <w:r w:rsidRPr="00E02681">
        <w:t xml:space="preserve">he </w:t>
      </w:r>
      <w:r w:rsidR="006E4804">
        <w:t xml:space="preserve">outcome </w:t>
      </w:r>
      <w:r w:rsidR="00F401AD">
        <w:t xml:space="preserve">of its consideration </w:t>
      </w:r>
      <w:r w:rsidRPr="00E02681">
        <w:t xml:space="preserve">should be </w:t>
      </w:r>
      <w:r w:rsidR="006E4804" w:rsidRPr="00E02681">
        <w:t>in</w:t>
      </w:r>
      <w:r w:rsidR="006E4804">
        <w:t>corporated into the CTF after its adoption</w:t>
      </w:r>
      <w:r w:rsidRPr="00E02681">
        <w:t>.</w:t>
      </w:r>
    </w:p>
    <w:p w14:paraId="5CBA2F54" w14:textId="3693E02A" w:rsidR="00C75A59" w:rsidRPr="00F47E71" w:rsidRDefault="007A61B9" w:rsidP="007A61B9">
      <w:pPr>
        <w:pStyle w:val="31"/>
        <w:numPr>
          <w:ilvl w:val="0"/>
          <w:numId w:val="22"/>
        </w:numPr>
        <w:ind w:leftChars="0" w:firstLineChars="0"/>
      </w:pPr>
      <w:r>
        <w:t>Regarding the</w:t>
      </w:r>
      <w:r w:rsidR="00C75A59" w:rsidRPr="00F47E71">
        <w:t xml:space="preserve"> reporting table for </w:t>
      </w:r>
      <w:r w:rsidR="006E4804" w:rsidRPr="00F47E71">
        <w:t xml:space="preserve">iv) </w:t>
      </w:r>
      <w:r>
        <w:t>Information on c</w:t>
      </w:r>
      <w:r w:rsidR="00C75A59" w:rsidRPr="00F47E71">
        <w:t xml:space="preserve">ontribution </w:t>
      </w:r>
      <w:r>
        <w:t xml:space="preserve">from </w:t>
      </w:r>
      <w:r w:rsidR="00C75A59" w:rsidRPr="00F47E71">
        <w:t>LULUCF</w:t>
      </w:r>
      <w:r>
        <w:t xml:space="preserve">, standardized table should </w:t>
      </w:r>
      <w:r w:rsidR="00C75A59" w:rsidRPr="00F47E71">
        <w:t xml:space="preserve">be </w:t>
      </w:r>
      <w:r>
        <w:t xml:space="preserve">developed and be able to be used </w:t>
      </w:r>
      <w:r w:rsidR="001E052D">
        <w:rPr>
          <w:rFonts w:hint="eastAsia"/>
        </w:rPr>
        <w:t xml:space="preserve">in a </w:t>
      </w:r>
      <w:r>
        <w:t xml:space="preserve">voluntary </w:t>
      </w:r>
      <w:r w:rsidR="007D0E2F">
        <w:t xml:space="preserve">basis </w:t>
      </w:r>
      <w:r>
        <w:t xml:space="preserve">because </w:t>
      </w:r>
      <w:r w:rsidR="00C75A59" w:rsidRPr="00F47E71">
        <w:t xml:space="preserve">it may be </w:t>
      </w:r>
      <w:r>
        <w:t>necessary t</w:t>
      </w:r>
      <w:r w:rsidR="00C75A59" w:rsidRPr="00F47E71">
        <w:t xml:space="preserve">o provide </w:t>
      </w:r>
      <w:r>
        <w:t xml:space="preserve">disaggregated information by each element </w:t>
      </w:r>
      <w:r w:rsidR="007D0E2F">
        <w:t xml:space="preserve">(category and activity) </w:t>
      </w:r>
      <w:r>
        <w:t xml:space="preserve">for </w:t>
      </w:r>
      <w:r w:rsidR="00C75A59" w:rsidRPr="00F47E71">
        <w:t xml:space="preserve">the </w:t>
      </w:r>
      <w:r>
        <w:t>cases where r</w:t>
      </w:r>
      <w:r w:rsidR="00C75A59" w:rsidRPr="00F47E71">
        <w:t>eference point</w:t>
      </w:r>
      <w:r>
        <w:t>s</w:t>
      </w:r>
      <w:r w:rsidR="00C75A59" w:rsidRPr="00F47E71">
        <w:t xml:space="preserve"> and baseline</w:t>
      </w:r>
      <w:r>
        <w:t>s</w:t>
      </w:r>
      <w:r w:rsidR="00C75A59" w:rsidRPr="00F47E71">
        <w:t xml:space="preserve"> </w:t>
      </w:r>
      <w:r>
        <w:t xml:space="preserve">are </w:t>
      </w:r>
      <w:r w:rsidR="00C75A59" w:rsidRPr="00F47E71">
        <w:t xml:space="preserve">set </w:t>
      </w:r>
      <w:r w:rsidR="0075409F">
        <w:t>in</w:t>
      </w:r>
      <w:r>
        <w:t xml:space="preserve"> </w:t>
      </w:r>
      <w:r w:rsidR="00C75A59" w:rsidRPr="00F47E71">
        <w:t xml:space="preserve">each category </w:t>
      </w:r>
      <w:r>
        <w:t xml:space="preserve">or </w:t>
      </w:r>
      <w:r w:rsidR="00C75A59" w:rsidRPr="00F47E71">
        <w:t>activity</w:t>
      </w:r>
      <w:r w:rsidR="007D0E2F">
        <w:t xml:space="preserve"> level</w:t>
      </w:r>
      <w:r w:rsidR="00C75A59" w:rsidRPr="00F47E71">
        <w:t>.</w:t>
      </w:r>
    </w:p>
    <w:p w14:paraId="24262FB4" w14:textId="3FED3E80" w:rsidR="0093335F" w:rsidRDefault="007A61B9" w:rsidP="007A61B9">
      <w:pPr>
        <w:pStyle w:val="31"/>
        <w:numPr>
          <w:ilvl w:val="0"/>
          <w:numId w:val="22"/>
        </w:numPr>
        <w:ind w:leftChars="0" w:firstLineChars="0"/>
      </w:pPr>
      <w:r>
        <w:t>The r</w:t>
      </w:r>
      <w:r w:rsidR="0093335F">
        <w:t xml:space="preserve">eporting </w:t>
      </w:r>
      <w:r>
        <w:t xml:space="preserve">of information on </w:t>
      </w:r>
      <w:r w:rsidR="00F401AD">
        <w:t xml:space="preserve">the </w:t>
      </w:r>
      <w:r>
        <w:t xml:space="preserve">description of a Party’s NDC </w:t>
      </w:r>
      <w:r w:rsidR="0093335F">
        <w:t>(section III.B)</w:t>
      </w:r>
      <w:r>
        <w:t xml:space="preserve"> should be reported in a tabular form as well</w:t>
      </w:r>
      <w:r w:rsidR="0093335F">
        <w:t xml:space="preserve">. The reporting </w:t>
      </w:r>
      <w:r>
        <w:t>elements s</w:t>
      </w:r>
      <w:r w:rsidR="0093335F">
        <w:t xml:space="preserve">hould cover </w:t>
      </w:r>
      <w:r>
        <w:t>the information referred in p</w:t>
      </w:r>
      <w:r w:rsidR="0093335F">
        <w:t>ara</w:t>
      </w:r>
      <w:r w:rsidR="00AA1C69" w:rsidRPr="00974BFD">
        <w:t>graph</w:t>
      </w:r>
      <w:r w:rsidR="0093335F">
        <w:t xml:space="preserve"> 64(a)-(g) </w:t>
      </w:r>
      <w:r>
        <w:t xml:space="preserve">of the MPGs </w:t>
      </w:r>
      <w:r w:rsidR="0093335F">
        <w:t xml:space="preserve">and should also take into account the information required in </w:t>
      </w:r>
      <w:r>
        <w:t xml:space="preserve">decision </w:t>
      </w:r>
      <w:r w:rsidR="0093335F">
        <w:t xml:space="preserve">4/CMA.1, Annex I (information to </w:t>
      </w:r>
      <w:r>
        <w:t xml:space="preserve">facilitate clarity, transparency and understanding </w:t>
      </w:r>
      <w:r w:rsidR="004C542D">
        <w:t xml:space="preserve">of </w:t>
      </w:r>
      <w:r w:rsidR="00AA1C69">
        <w:t>NDC</w:t>
      </w:r>
      <w:r w:rsidR="004C542D">
        <w:t>s</w:t>
      </w:r>
      <w:r w:rsidR="0093335F">
        <w:t>).</w:t>
      </w:r>
    </w:p>
    <w:p w14:paraId="6800D811" w14:textId="16AB5104" w:rsidR="001F719C" w:rsidRDefault="004C542D" w:rsidP="0093335F">
      <w:pPr>
        <w:pStyle w:val="31"/>
        <w:numPr>
          <w:ilvl w:val="0"/>
          <w:numId w:val="22"/>
        </w:numPr>
        <w:ind w:leftChars="0" w:firstLineChars="0"/>
      </w:pPr>
      <w:r>
        <w:rPr>
          <w:rFonts w:hint="eastAsia"/>
        </w:rPr>
        <w:t>T</w:t>
      </w:r>
      <w:r>
        <w:t xml:space="preserve">he specific proposals on the reporting tables for </w:t>
      </w:r>
      <w:r w:rsidR="001F719C">
        <w:t xml:space="preserve">description of NDC, </w:t>
      </w:r>
      <w:r>
        <w:t>M</w:t>
      </w:r>
      <w:r w:rsidR="001F719C">
        <w:t>ethodolog</w:t>
      </w:r>
      <w:r>
        <w:t xml:space="preserve">y, </w:t>
      </w:r>
      <w:r w:rsidR="001F719C">
        <w:t>accounting approach</w:t>
      </w:r>
      <w:r>
        <w:t>es</w:t>
      </w:r>
      <w:r w:rsidR="001F719C">
        <w:t xml:space="preserve"> and definitions of NDC and indicators, </w:t>
      </w:r>
      <w:r>
        <w:t>A</w:t>
      </w:r>
      <w:r w:rsidR="001F719C">
        <w:t xml:space="preserve">ccounting for </w:t>
      </w:r>
      <w:r>
        <w:t xml:space="preserve">tracking </w:t>
      </w:r>
      <w:r w:rsidR="001F719C">
        <w:t xml:space="preserve">progress </w:t>
      </w:r>
      <w:r>
        <w:t xml:space="preserve">made in implementing and achieving </w:t>
      </w:r>
      <w:r w:rsidR="001F719C">
        <w:t>of NDC under Article 4</w:t>
      </w:r>
      <w:r w:rsidR="00AA1C69">
        <w:t xml:space="preserve"> (structur</w:t>
      </w:r>
      <w:r w:rsidR="006872BD">
        <w:t>ed</w:t>
      </w:r>
      <w:r w:rsidR="00AA1C69">
        <w:t xml:space="preserve"> summary)</w:t>
      </w:r>
      <w:r w:rsidR="001F719C">
        <w:t xml:space="preserve">, </w:t>
      </w:r>
      <w:r>
        <w:t xml:space="preserve">Information on </w:t>
      </w:r>
      <w:r w:rsidR="001F719C">
        <w:t xml:space="preserve">ITMOs, </w:t>
      </w:r>
      <w:r w:rsidR="00AA1C69">
        <w:t xml:space="preserve">and </w:t>
      </w:r>
      <w:r>
        <w:t xml:space="preserve">Information on contribution from </w:t>
      </w:r>
      <w:r w:rsidR="001F719C">
        <w:t>LULUCF</w:t>
      </w:r>
      <w:r>
        <w:t xml:space="preserve"> are included in the Annex of this document</w:t>
      </w:r>
      <w:r w:rsidR="0014626B">
        <w:rPr>
          <w:rFonts w:hint="eastAsia"/>
        </w:rPr>
        <w:t xml:space="preserve"> (Excel format)</w:t>
      </w:r>
      <w:r w:rsidR="001F719C">
        <w:t>.</w:t>
      </w:r>
    </w:p>
    <w:p w14:paraId="036DEF8D" w14:textId="77777777" w:rsidR="0093335F" w:rsidRPr="00060F4A" w:rsidRDefault="0093335F" w:rsidP="0093335F">
      <w:pPr>
        <w:pStyle w:val="31"/>
        <w:ind w:leftChars="0" w:left="1305" w:firstLineChars="0" w:firstLine="0"/>
      </w:pPr>
    </w:p>
    <w:p w14:paraId="2B8BB2DD" w14:textId="0FB9B445" w:rsidR="0080519B" w:rsidRPr="0080519B" w:rsidRDefault="0010743E" w:rsidP="0080519B">
      <w:pPr>
        <w:pStyle w:val="31"/>
        <w:numPr>
          <w:ilvl w:val="0"/>
          <w:numId w:val="21"/>
        </w:numPr>
        <w:ind w:leftChars="0" w:firstLineChars="0"/>
        <w:rPr>
          <w:b/>
          <w:u w:val="single"/>
        </w:rPr>
      </w:pPr>
      <w:r w:rsidRPr="0010743E">
        <w:rPr>
          <w:b/>
          <w:u w:val="single"/>
        </w:rPr>
        <w:t>Tables for reporting on support needed and received, and support mobilized</w:t>
      </w:r>
    </w:p>
    <w:p w14:paraId="5EDB8CDA" w14:textId="1B1342F4" w:rsidR="00581673" w:rsidRDefault="00581673" w:rsidP="00581673">
      <w:pPr>
        <w:pStyle w:val="31"/>
        <w:numPr>
          <w:ilvl w:val="0"/>
          <w:numId w:val="22"/>
        </w:numPr>
        <w:ind w:leftChars="0" w:firstLineChars="0"/>
      </w:pPr>
      <w:r w:rsidRPr="00581673">
        <w:t>Since the information on financial support mobilized is not covered by existing CTFs, considerations and discussions on the development of reporting tables for the information on financial support mobilized should be prioritized.</w:t>
      </w:r>
    </w:p>
    <w:p w14:paraId="4CFC5425" w14:textId="2FCE282E" w:rsidR="00581673" w:rsidRPr="0080519B" w:rsidRDefault="00581673" w:rsidP="00E02681">
      <w:pPr>
        <w:pStyle w:val="31"/>
        <w:numPr>
          <w:ilvl w:val="0"/>
          <w:numId w:val="22"/>
        </w:numPr>
        <w:ind w:leftChars="0" w:firstLineChars="0"/>
      </w:pPr>
      <w:r w:rsidRPr="00581673">
        <w:t xml:space="preserve">CTFs for the reporting of the information required in Chapter VI (Information on support needed and received) </w:t>
      </w:r>
      <w:r w:rsidR="004C542D">
        <w:rPr>
          <w:rFonts w:hint="eastAsia"/>
        </w:rPr>
        <w:t>o</w:t>
      </w:r>
      <w:r w:rsidR="004C542D">
        <w:t xml:space="preserve">f the MPGs </w:t>
      </w:r>
      <w:r w:rsidRPr="00581673">
        <w:t>should be considered preferentially, with adequate time for discussion, since there are no formal reporting tables for the existing MRV arrangements under the Convention. The reporting tables to be developed should be strictly in accordance with the reporting elements on support needed and received defined in the MPGs.</w:t>
      </w:r>
    </w:p>
    <w:p w14:paraId="6DD30120" w14:textId="77777777" w:rsidR="0080519B" w:rsidRPr="0080519B" w:rsidRDefault="0080519B" w:rsidP="00C75D50">
      <w:pPr>
        <w:pStyle w:val="31"/>
        <w:ind w:leftChars="0" w:left="1305" w:firstLineChars="0" w:firstLine="0"/>
      </w:pPr>
    </w:p>
    <w:p w14:paraId="52DF084F" w14:textId="1ADB0D11" w:rsidR="00D33E03" w:rsidRPr="0080519B" w:rsidRDefault="0010743E" w:rsidP="00054F82">
      <w:pPr>
        <w:pStyle w:val="31"/>
        <w:numPr>
          <w:ilvl w:val="0"/>
          <w:numId w:val="21"/>
        </w:numPr>
        <w:ind w:leftChars="0" w:firstLineChars="0"/>
        <w:rPr>
          <w:b/>
          <w:u w:val="single"/>
        </w:rPr>
      </w:pPr>
      <w:r w:rsidRPr="0010743E">
        <w:rPr>
          <w:b/>
          <w:u w:val="single"/>
        </w:rPr>
        <w:lastRenderedPageBreak/>
        <w:t>Approaches to operationalizing the flexibility for those developing country Parties that need it in the light of their capacities, as defined in decision 18/CMA.1</w:t>
      </w:r>
    </w:p>
    <w:p w14:paraId="514E96E4" w14:textId="548C82E6" w:rsidR="008261F0" w:rsidRPr="0080519B" w:rsidRDefault="004C542D" w:rsidP="007D1C38">
      <w:pPr>
        <w:pStyle w:val="31"/>
        <w:numPr>
          <w:ilvl w:val="0"/>
          <w:numId w:val="22"/>
        </w:numPr>
        <w:ind w:leftChars="0" w:firstLineChars="0"/>
      </w:pPr>
      <w:r>
        <w:t>Japan believes that f</w:t>
      </w:r>
      <w:r w:rsidR="00D33E03" w:rsidRPr="0080519B">
        <w:t xml:space="preserve">lexibility </w:t>
      </w:r>
      <w:r w:rsidRPr="004C542D">
        <w:t>for those developing country Parties that need it in the light of their capacities</w:t>
      </w:r>
      <w:r>
        <w:t xml:space="preserve"> does </w:t>
      </w:r>
      <w:r w:rsidR="00D33E03" w:rsidRPr="0080519B">
        <w:t>not affect the structures of the reporting tables</w:t>
      </w:r>
      <w:r>
        <w:t xml:space="preserve">, and the </w:t>
      </w:r>
      <w:r w:rsidR="00D33E03" w:rsidRPr="0080519B">
        <w:t xml:space="preserve">reporting tables are </w:t>
      </w:r>
      <w:r>
        <w:t xml:space="preserve">common </w:t>
      </w:r>
      <w:r w:rsidR="00D33E03" w:rsidRPr="0080519B">
        <w:t xml:space="preserve">and applicable to all </w:t>
      </w:r>
      <w:r>
        <w:t>Parties</w:t>
      </w:r>
      <w:r w:rsidR="00D33E03" w:rsidRPr="0080519B">
        <w:t xml:space="preserve">. Therefore, </w:t>
      </w:r>
      <w:r>
        <w:t xml:space="preserve">approaches to operationalizing the </w:t>
      </w:r>
      <w:r w:rsidR="00D33E03" w:rsidRPr="0080519B">
        <w:t xml:space="preserve">flexibility should not be addressed by the organization and content of tables, but by devising reporting methods such as </w:t>
      </w:r>
      <w:r>
        <w:t>using notation keys. T</w:t>
      </w:r>
      <w:r w:rsidR="00D33E03" w:rsidRPr="0080519B">
        <w:t xml:space="preserve">he application of flexibility should not undermine the </w:t>
      </w:r>
      <w:r>
        <w:t>robustness</w:t>
      </w:r>
      <w:r w:rsidR="00D33E03" w:rsidRPr="0080519B">
        <w:t xml:space="preserve"> of the transparency </w:t>
      </w:r>
      <w:r>
        <w:t>framework</w:t>
      </w:r>
      <w:r w:rsidR="00D33E03" w:rsidRPr="0080519B">
        <w:t>.</w:t>
      </w:r>
    </w:p>
    <w:p w14:paraId="4EFF7AA6" w14:textId="379D486C" w:rsidR="00C7239A" w:rsidRPr="0080519B" w:rsidRDefault="00F669FD" w:rsidP="00D33E03">
      <w:pPr>
        <w:pStyle w:val="31"/>
        <w:numPr>
          <w:ilvl w:val="0"/>
          <w:numId w:val="22"/>
        </w:numPr>
        <w:ind w:leftChars="0" w:firstLineChars="0"/>
      </w:pPr>
      <w:r>
        <w:t xml:space="preserve">The specific proposal </w:t>
      </w:r>
      <w:r w:rsidR="004C542D">
        <w:t xml:space="preserve">on approaches to operationalizing </w:t>
      </w:r>
      <w:r w:rsidR="004C542D" w:rsidRPr="004C542D">
        <w:t>the flexibility for those developing country Parties that need it in the light of their capacities</w:t>
      </w:r>
      <w:r w:rsidR="0080519B">
        <w:t xml:space="preserve"> </w:t>
      </w:r>
      <w:r w:rsidR="00F401AD">
        <w:t>is</w:t>
      </w:r>
      <w:r w:rsidR="0080519B">
        <w:t xml:space="preserve"> as follows.</w:t>
      </w:r>
    </w:p>
    <w:p w14:paraId="3A1119A2" w14:textId="2A5D6C7E" w:rsidR="00C7239A" w:rsidRPr="0080519B" w:rsidRDefault="00F669FD" w:rsidP="00C7239A">
      <w:pPr>
        <w:pStyle w:val="31"/>
        <w:numPr>
          <w:ilvl w:val="1"/>
          <w:numId w:val="22"/>
        </w:numPr>
        <w:ind w:leftChars="0" w:firstLineChars="0"/>
      </w:pPr>
      <w:r>
        <w:t>In t</w:t>
      </w:r>
      <w:r w:rsidR="0080519B">
        <w:t xml:space="preserve">he reporting </w:t>
      </w:r>
      <w:r>
        <w:rPr>
          <w:rFonts w:hint="eastAsia"/>
        </w:rPr>
        <w:t>cells</w:t>
      </w:r>
      <w:r w:rsidR="0080519B">
        <w:t xml:space="preserve"> </w:t>
      </w:r>
      <w:r w:rsidR="004C542D">
        <w:t xml:space="preserve">for </w:t>
      </w:r>
      <w:r w:rsidR="0080519B">
        <w:t xml:space="preserve">the reporting </w:t>
      </w:r>
      <w:r w:rsidR="004C542D">
        <w:t>elements</w:t>
      </w:r>
      <w:r w:rsidR="0080519B">
        <w:t xml:space="preserve"> to which </w:t>
      </w:r>
      <w:r w:rsidR="004C542D">
        <w:t xml:space="preserve">the </w:t>
      </w:r>
      <w:r w:rsidR="0080519B">
        <w:t xml:space="preserve">flexibility is </w:t>
      </w:r>
      <w:r w:rsidR="004C542D">
        <w:t>provided</w:t>
      </w:r>
      <w:r w:rsidR="0080519B">
        <w:t xml:space="preserve"> in the MPGs</w:t>
      </w:r>
      <w:r>
        <w:t>, it</w:t>
      </w:r>
      <w:r w:rsidR="0080519B">
        <w:t xml:space="preserve"> clearly indicates that </w:t>
      </w:r>
      <w:r>
        <w:t xml:space="preserve">the </w:t>
      </w:r>
      <w:r w:rsidR="0080519B">
        <w:t xml:space="preserve">flexibility is </w:t>
      </w:r>
      <w:r>
        <w:t xml:space="preserve">provided in the MPGs </w:t>
      </w:r>
      <w:r w:rsidR="0080519B">
        <w:t xml:space="preserve">by </w:t>
      </w:r>
      <w:r>
        <w:t xml:space="preserve">such as </w:t>
      </w:r>
      <w:r w:rsidR="0080519B">
        <w:t>coloring t</w:t>
      </w:r>
      <w:r>
        <w:t xml:space="preserve">he </w:t>
      </w:r>
      <w:r w:rsidR="0080519B">
        <w:t>cell</w:t>
      </w:r>
      <w:r>
        <w:t>s</w:t>
      </w:r>
      <w:r w:rsidR="0080519B">
        <w:t xml:space="preserve">, and the corresponding paragraph </w:t>
      </w:r>
      <w:r w:rsidR="00985EE7">
        <w:t xml:space="preserve">which provide the flexibility </w:t>
      </w:r>
      <w:r>
        <w:t>in</w:t>
      </w:r>
      <w:r w:rsidR="0080519B">
        <w:t xml:space="preserve"> the MPGs</w:t>
      </w:r>
      <w:r w:rsidR="00985EE7">
        <w:t xml:space="preserve"> </w:t>
      </w:r>
      <w:r w:rsidR="0080519B">
        <w:t xml:space="preserve">is </w:t>
      </w:r>
      <w:r>
        <w:t>indicated in the footnote of the tables</w:t>
      </w:r>
      <w:r w:rsidR="0080519B">
        <w:t>.</w:t>
      </w:r>
    </w:p>
    <w:p w14:paraId="3D1121D6" w14:textId="27F0332C" w:rsidR="00C7239A" w:rsidRPr="0080519B" w:rsidRDefault="00C7239A" w:rsidP="00C7239A">
      <w:pPr>
        <w:pStyle w:val="31"/>
        <w:numPr>
          <w:ilvl w:val="1"/>
          <w:numId w:val="22"/>
        </w:numPr>
        <w:ind w:leftChars="0" w:firstLineChars="0"/>
      </w:pPr>
      <w:r w:rsidRPr="0080519B">
        <w:t xml:space="preserve">If </w:t>
      </w:r>
      <w:r w:rsidR="00985EE7">
        <w:t>a Party appl</w:t>
      </w:r>
      <w:r w:rsidR="00F401AD">
        <w:t>ies</w:t>
      </w:r>
      <w:r w:rsidR="00985EE7">
        <w:t xml:space="preserve"> the flexibility due to its </w:t>
      </w:r>
      <w:r w:rsidR="00985EE7" w:rsidRPr="0080519B">
        <w:t xml:space="preserve">capacity constraints and </w:t>
      </w:r>
      <w:r w:rsidR="00985EE7">
        <w:t xml:space="preserve">does not report </w:t>
      </w:r>
      <w:r w:rsidRPr="0080519B">
        <w:t xml:space="preserve">the required </w:t>
      </w:r>
      <w:r w:rsidR="00985EE7">
        <w:t>information</w:t>
      </w:r>
      <w:r w:rsidRPr="0080519B">
        <w:t xml:space="preserve">, </w:t>
      </w:r>
      <w:r w:rsidR="00985EE7">
        <w:t xml:space="preserve">it should use a </w:t>
      </w:r>
      <w:r w:rsidRPr="0080519B">
        <w:t xml:space="preserve">notation key "NE" and add an asterisk to indicate that </w:t>
      </w:r>
      <w:r w:rsidR="00985EE7">
        <w:t xml:space="preserve">the </w:t>
      </w:r>
      <w:r w:rsidRPr="0080519B">
        <w:t>flexibility is being applied (e.g., NE*).</w:t>
      </w:r>
    </w:p>
    <w:p w14:paraId="554BDB3E" w14:textId="44E7F3F4" w:rsidR="00C7239A" w:rsidRPr="0080519B" w:rsidRDefault="00985EE7" w:rsidP="00C7239A">
      <w:pPr>
        <w:pStyle w:val="31"/>
        <w:numPr>
          <w:ilvl w:val="1"/>
          <w:numId w:val="22"/>
        </w:numPr>
        <w:ind w:leftChars="0" w:firstLineChars="0"/>
      </w:pPr>
      <w:r w:rsidRPr="0080519B">
        <w:t xml:space="preserve">If </w:t>
      </w:r>
      <w:r>
        <w:t>a Party appl</w:t>
      </w:r>
      <w:r w:rsidR="00F401AD">
        <w:t>ies</w:t>
      </w:r>
      <w:r>
        <w:t xml:space="preserve"> the flexibility in the reporting of GHG inventories due to its capacity constraints</w:t>
      </w:r>
      <w:r w:rsidR="00ED7F88">
        <w:t xml:space="preserve">, </w:t>
      </w:r>
      <w:r>
        <w:t xml:space="preserve">it should provide the explanation </w:t>
      </w:r>
      <w:r w:rsidR="00ED7F88">
        <w:t xml:space="preserve">that </w:t>
      </w:r>
      <w:r>
        <w:t xml:space="preserve">the </w:t>
      </w:r>
      <w:r w:rsidR="00ED7F88">
        <w:t xml:space="preserve">flexibility is applied in the </w:t>
      </w:r>
      <w:r>
        <w:t>table for c</w:t>
      </w:r>
      <w:r w:rsidR="00ED7F88">
        <w:t>ompleteness of CRTs (Table 9 of current CRF</w:t>
      </w:r>
      <w:r>
        <w:t xml:space="preserve"> tables</w:t>
      </w:r>
      <w:r w:rsidR="00ED7F88">
        <w:t>).</w:t>
      </w:r>
    </w:p>
    <w:p w14:paraId="5A26C4D2" w14:textId="77777777" w:rsidR="005630D2" w:rsidRDefault="005630D2" w:rsidP="005630D2">
      <w:pPr>
        <w:pStyle w:val="31"/>
        <w:ind w:leftChars="0" w:left="0" w:firstLineChars="0" w:firstLine="0"/>
      </w:pPr>
    </w:p>
    <w:p w14:paraId="1C598A54" w14:textId="77777777" w:rsidR="005630D2" w:rsidRPr="00451421" w:rsidRDefault="005630D2" w:rsidP="005630D2">
      <w:pPr>
        <w:pStyle w:val="6"/>
        <w:spacing w:before="176"/>
        <w:rPr>
          <w:b/>
        </w:rPr>
      </w:pPr>
      <w:r w:rsidRPr="00451421">
        <w:rPr>
          <w:b/>
        </w:rPr>
        <w:t>View on the next step</w:t>
      </w:r>
    </w:p>
    <w:p w14:paraId="186B019D" w14:textId="79D8B504" w:rsidR="00D64FB0" w:rsidRDefault="00D64FB0" w:rsidP="00D64FB0">
      <w:pPr>
        <w:pStyle w:val="31"/>
        <w:numPr>
          <w:ilvl w:val="0"/>
          <w:numId w:val="22"/>
        </w:numPr>
        <w:ind w:leftChars="0" w:firstLineChars="0" w:hanging="454"/>
      </w:pPr>
      <w:r>
        <w:t xml:space="preserve">Technical considerations should be accelerated </w:t>
      </w:r>
      <w:r>
        <w:rPr>
          <w:rFonts w:hint="eastAsia"/>
        </w:rPr>
        <w:t>to</w:t>
      </w:r>
      <w:r>
        <w:t xml:space="preserve"> </w:t>
      </w:r>
      <w:r>
        <w:rPr>
          <w:rFonts w:hint="eastAsia"/>
        </w:rPr>
        <w:t>reach</w:t>
      </w:r>
      <w:r>
        <w:t xml:space="preserve"> </w:t>
      </w:r>
      <w:r>
        <w:rPr>
          <w:rFonts w:hint="eastAsia"/>
        </w:rPr>
        <w:t>an</w:t>
      </w:r>
      <w:r>
        <w:t xml:space="preserve"> </w:t>
      </w:r>
      <w:r>
        <w:rPr>
          <w:rFonts w:hint="eastAsia"/>
        </w:rPr>
        <w:t>agreement</w:t>
      </w:r>
      <w:r>
        <w:t xml:space="preserve"> </w:t>
      </w:r>
      <w:r>
        <w:rPr>
          <w:rFonts w:hint="eastAsia"/>
        </w:rPr>
        <w:t xml:space="preserve">at </w:t>
      </w:r>
      <w:r>
        <w:t>COP26.</w:t>
      </w:r>
    </w:p>
    <w:p w14:paraId="5C29A78B" w14:textId="39B86FA1" w:rsidR="00D64FB0" w:rsidRDefault="00D64FB0" w:rsidP="00D64FB0">
      <w:pPr>
        <w:pStyle w:val="31"/>
        <w:numPr>
          <w:ilvl w:val="0"/>
          <w:numId w:val="22"/>
        </w:numPr>
        <w:ind w:leftChars="0" w:firstLineChars="0" w:hanging="454"/>
      </w:pPr>
      <w:r>
        <w:t xml:space="preserve">In order to efficiently conduct detailed technical considerations for developing CRT in various sectors of GHG inventories, Japan proposes </w:t>
      </w:r>
      <w:r>
        <w:rPr>
          <w:rFonts w:hint="eastAsia"/>
        </w:rPr>
        <w:t>holding</w:t>
      </w:r>
      <w:r>
        <w:t xml:space="preserve"> discussions at the expert level divided into (1) energy, IPPU, and wastes, and (2) AFOLU (agricultural and LULUCF)</w:t>
      </w:r>
      <w:r>
        <w:rPr>
          <w:rFonts w:hint="eastAsia"/>
        </w:rPr>
        <w:t>,</w:t>
      </w:r>
      <w:r>
        <w:t xml:space="preserve"> such as technical expert workshop(s) and inf/inf/inf consultations. For th</w:t>
      </w:r>
      <w:r>
        <w:rPr>
          <w:rFonts w:hint="eastAsia"/>
        </w:rPr>
        <w:t>ose</w:t>
      </w:r>
      <w:r>
        <w:t xml:space="preserve"> discussion</w:t>
      </w:r>
      <w:r>
        <w:rPr>
          <w:rFonts w:hint="eastAsia"/>
        </w:rPr>
        <w:t>s</w:t>
      </w:r>
      <w:r>
        <w:t xml:space="preserve">, it is advisable to invite views on specific elements of the reporting tables to be considered from Parties firstly, and </w:t>
      </w:r>
      <w:r w:rsidR="000847C8">
        <w:t xml:space="preserve">to </w:t>
      </w:r>
      <w:r>
        <w:rPr>
          <w:rFonts w:hint="eastAsia"/>
        </w:rPr>
        <w:t>request</w:t>
      </w:r>
      <w:r>
        <w:t xml:space="preserve"> </w:t>
      </w:r>
      <w:r>
        <w:rPr>
          <w:rFonts w:hint="eastAsia"/>
        </w:rPr>
        <w:t>the</w:t>
      </w:r>
      <w:r>
        <w:t xml:space="preserve"> </w:t>
      </w:r>
      <w:r>
        <w:rPr>
          <w:rFonts w:hint="eastAsia"/>
        </w:rPr>
        <w:t>secretariat</w:t>
      </w:r>
      <w:r>
        <w:t xml:space="preserve"> to </w:t>
      </w:r>
      <w:r w:rsidR="000847C8">
        <w:t>organize</w:t>
      </w:r>
      <w:r>
        <w:t xml:space="preserve"> </w:t>
      </w:r>
      <w:r>
        <w:rPr>
          <w:rFonts w:hint="eastAsia"/>
        </w:rPr>
        <w:t>them</w:t>
      </w:r>
      <w:r w:rsidR="000847C8">
        <w:t xml:space="preserve"> to make as the input for </w:t>
      </w:r>
      <w:r>
        <w:rPr>
          <w:rFonts w:hint="eastAsia"/>
        </w:rPr>
        <w:t>technical</w:t>
      </w:r>
      <w:r>
        <w:t xml:space="preserve"> </w:t>
      </w:r>
      <w:r>
        <w:rPr>
          <w:rFonts w:hint="eastAsia"/>
        </w:rPr>
        <w:t>consultation</w:t>
      </w:r>
      <w:r>
        <w:t xml:space="preserve"> </w:t>
      </w:r>
      <w:r>
        <w:rPr>
          <w:rFonts w:hint="eastAsia"/>
        </w:rPr>
        <w:t>at</w:t>
      </w:r>
      <w:r>
        <w:t xml:space="preserve"> </w:t>
      </w:r>
      <w:r>
        <w:rPr>
          <w:rFonts w:hint="eastAsia"/>
        </w:rPr>
        <w:t>expert</w:t>
      </w:r>
      <w:r>
        <w:t xml:space="preserve"> </w:t>
      </w:r>
      <w:r>
        <w:rPr>
          <w:rFonts w:hint="eastAsia"/>
        </w:rPr>
        <w:t>level</w:t>
      </w:r>
      <w:bookmarkStart w:id="0" w:name="_GoBack"/>
      <w:bookmarkEnd w:id="0"/>
      <w:r>
        <w:rPr>
          <w:rFonts w:hint="eastAsia"/>
        </w:rPr>
        <w:t>.</w:t>
      </w:r>
    </w:p>
    <w:p w14:paraId="450D7296" w14:textId="739F3D84" w:rsidR="00D64FB0" w:rsidRDefault="00D64FB0" w:rsidP="00D64FB0">
      <w:pPr>
        <w:pStyle w:val="31"/>
        <w:numPr>
          <w:ilvl w:val="0"/>
          <w:numId w:val="22"/>
        </w:numPr>
        <w:ind w:leftChars="0" w:firstLineChars="0" w:hanging="454"/>
      </w:pPr>
      <w:r>
        <w:rPr>
          <w:rFonts w:hint="eastAsia"/>
        </w:rPr>
        <w:t>Revising</w:t>
      </w:r>
      <w:r>
        <w:t xml:space="preserve"> </w:t>
      </w:r>
      <w:r>
        <w:rPr>
          <w:rFonts w:hint="eastAsia"/>
        </w:rPr>
        <w:t>the informal</w:t>
      </w:r>
      <w:r>
        <w:t xml:space="preserve"> </w:t>
      </w:r>
      <w:r>
        <w:rPr>
          <w:rFonts w:hint="eastAsia"/>
        </w:rPr>
        <w:t>notes</w:t>
      </w:r>
      <w:r>
        <w:t xml:space="preserve"> based on the submissions from Parties and discussions </w:t>
      </w:r>
      <w:r>
        <w:rPr>
          <w:rFonts w:hint="eastAsia"/>
        </w:rPr>
        <w:t>is</w:t>
      </w:r>
      <w:r>
        <w:t xml:space="preserve"> </w:t>
      </w:r>
      <w:r>
        <w:rPr>
          <w:rFonts w:hint="eastAsia"/>
        </w:rPr>
        <w:t xml:space="preserve">the </w:t>
      </w:r>
      <w:r>
        <w:t xml:space="preserve">possible </w:t>
      </w:r>
      <w:r>
        <w:rPr>
          <w:rFonts w:hint="eastAsia"/>
        </w:rPr>
        <w:t>way forward</w:t>
      </w:r>
      <w:r>
        <w:t xml:space="preserve"> at SBSTA51. Intersessional or pre-sessional expert workshop(s) should be held to deepen discussions on technical issues and to develop a draft of specific reporting tables, and the outcome of the workshop(s) should be input to the discussions at SBSTA52 (June 2020).</w:t>
      </w:r>
    </w:p>
    <w:p w14:paraId="64C03584" w14:textId="474A07BF" w:rsidR="00027802" w:rsidRPr="00D64FB0" w:rsidRDefault="00027802">
      <w:pPr>
        <w:widowControl/>
        <w:jc w:val="left"/>
      </w:pPr>
    </w:p>
    <w:p w14:paraId="50591882" w14:textId="0334C1E2" w:rsidR="005B159E" w:rsidRDefault="00027802" w:rsidP="00E02681">
      <w:pPr>
        <w:pStyle w:val="6"/>
        <w:numPr>
          <w:ilvl w:val="0"/>
          <w:numId w:val="0"/>
        </w:numPr>
        <w:spacing w:before="176"/>
        <w:ind w:left="113"/>
      </w:pPr>
      <w:r>
        <w:t xml:space="preserve">Annex: </w:t>
      </w:r>
      <w:r w:rsidR="00497DEB">
        <w:t>Specific proposals on c</w:t>
      </w:r>
      <w:r w:rsidR="00237D03">
        <w:t xml:space="preserve">ommon </w:t>
      </w:r>
      <w:r w:rsidR="00497DEB">
        <w:t>tabular format</w:t>
      </w:r>
      <w:r w:rsidR="00237D03">
        <w:t xml:space="preserve"> for </w:t>
      </w:r>
      <w:r w:rsidR="00497DEB">
        <w:t>t</w:t>
      </w:r>
      <w:r w:rsidR="00237D03">
        <w:t xml:space="preserve">racking progress </w:t>
      </w:r>
      <w:r w:rsidR="00497DEB">
        <w:t xml:space="preserve">made in implementing and achieving </w:t>
      </w:r>
      <w:r>
        <w:t>NDC</w:t>
      </w:r>
      <w:r w:rsidR="00497DEB">
        <w:t>s</w:t>
      </w:r>
    </w:p>
    <w:p w14:paraId="52939769" w14:textId="618F8857" w:rsidR="00A87862" w:rsidRPr="00A87862" w:rsidRDefault="0014626B" w:rsidP="00E02681">
      <w:pPr>
        <w:pStyle w:val="31"/>
        <w:ind w:leftChars="0" w:left="0" w:firstLineChars="0" w:firstLine="0"/>
        <w:rPr>
          <w:kern w:val="0"/>
          <w:sz w:val="22"/>
          <w:szCs w:val="28"/>
        </w:rPr>
      </w:pPr>
      <w:r>
        <w:rPr>
          <w:rFonts w:hint="eastAsia"/>
          <w:kern w:val="0"/>
          <w:sz w:val="22"/>
          <w:szCs w:val="28"/>
        </w:rPr>
        <w:t xml:space="preserve"> (Excel format)</w:t>
      </w:r>
    </w:p>
    <w:sectPr w:rsidR="00A87862" w:rsidRPr="00A87862" w:rsidSect="00D365A2">
      <w:headerReference w:type="default" r:id="rId8"/>
      <w:footerReference w:type="even" r:id="rId9"/>
      <w:footerReference w:type="default" r:id="rId10"/>
      <w:pgSz w:w="11906" w:h="16838" w:code="9"/>
      <w:pgMar w:top="1134" w:right="1134" w:bottom="1134" w:left="1134" w:header="737" w:footer="624" w:gutter="0"/>
      <w:pgNumType w:start="1"/>
      <w:cols w:space="425"/>
      <w:docGrid w:type="lines" w:linePitch="35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C5C08" w16cid:durableId="21794C42"/>
  <w16cid:commentId w16cid:paraId="0E6BF84B" w16cid:durableId="21794C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88785" w14:textId="77777777" w:rsidR="001B5457" w:rsidRDefault="001B5457">
      <w:r>
        <w:separator/>
      </w:r>
    </w:p>
  </w:endnote>
  <w:endnote w:type="continuationSeparator" w:id="0">
    <w:p w14:paraId="2FF3D154" w14:textId="77777777" w:rsidR="001B5457" w:rsidRDefault="001B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AFC6" w14:textId="076C5E57" w:rsidR="00F73FA0" w:rsidRDefault="00F73FA0" w:rsidP="00293FEC">
    <w:pPr>
      <w:jc w:val="center"/>
    </w:pPr>
    <w:r w:rsidRPr="00A75C21">
      <w:t xml:space="preserve">- </w:t>
    </w:r>
    <w:r w:rsidR="00F05D29">
      <w:fldChar w:fldCharType="begin"/>
    </w:r>
    <w:r>
      <w:instrText xml:space="preserve"> PAGE </w:instrText>
    </w:r>
    <w:r w:rsidR="00F05D29">
      <w:fldChar w:fldCharType="separate"/>
    </w:r>
    <w:r w:rsidR="008E4A37">
      <w:rPr>
        <w:noProof/>
      </w:rPr>
      <w:t>4</w:t>
    </w:r>
    <w:r w:rsidR="00F05D29">
      <w:rPr>
        <w:noProof/>
      </w:rPr>
      <w:fldChar w:fldCharType="end"/>
    </w:r>
    <w:r w:rsidRPr="00A75C2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9F34E" w14:textId="3FA54F43" w:rsidR="00F73FA0" w:rsidRPr="00A75C21" w:rsidRDefault="00F73FA0">
    <w:pPr>
      <w:jc w:val="center"/>
    </w:pPr>
    <w:r w:rsidRPr="00A75C21">
      <w:t xml:space="preserve">- </w:t>
    </w:r>
    <w:r w:rsidR="00F05D29">
      <w:fldChar w:fldCharType="begin"/>
    </w:r>
    <w:r>
      <w:instrText xml:space="preserve"> PAGE </w:instrText>
    </w:r>
    <w:r w:rsidR="00F05D29">
      <w:fldChar w:fldCharType="separate"/>
    </w:r>
    <w:r w:rsidR="008E4A37">
      <w:rPr>
        <w:noProof/>
      </w:rPr>
      <w:t>5</w:t>
    </w:r>
    <w:r w:rsidR="00F05D29">
      <w:rPr>
        <w:noProof/>
      </w:rPr>
      <w:fldChar w:fldCharType="end"/>
    </w:r>
    <w:r w:rsidRPr="00A75C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63457" w14:textId="77777777" w:rsidR="001B5457" w:rsidRDefault="001B5457">
      <w:r>
        <w:separator/>
      </w:r>
    </w:p>
  </w:footnote>
  <w:footnote w:type="continuationSeparator" w:id="0">
    <w:p w14:paraId="1EE90DD2" w14:textId="77777777" w:rsidR="001B5457" w:rsidRDefault="001B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FB99" w14:textId="77777777" w:rsidR="00F73FA0" w:rsidRDefault="00F73FA0" w:rsidP="00B1673F">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46F"/>
    <w:multiLevelType w:val="multilevel"/>
    <w:tmpl w:val="CB2873B6"/>
    <w:lvl w:ilvl="0">
      <w:start w:val="1"/>
      <w:numFmt w:val="upperRoman"/>
      <w:pStyle w:val="1"/>
      <w:suff w:val="space"/>
      <w:lvlText w:val="%1."/>
      <w:lvlJc w:val="left"/>
      <w:pPr>
        <w:ind w:left="397" w:hanging="397"/>
      </w:pPr>
      <w:rPr>
        <w:rFonts w:ascii="Times New Roman" w:eastAsia="ＭＳ ゴシック" w:hAnsi="Times New Roman" w:hint="default"/>
        <w:b w:val="0"/>
        <w:i w:val="0"/>
        <w:sz w:val="32"/>
        <w:szCs w:val="28"/>
      </w:rPr>
    </w:lvl>
    <w:lvl w:ilvl="1">
      <w:start w:val="1"/>
      <w:numFmt w:val="decimalFullWidth"/>
      <w:pStyle w:val="2"/>
      <w:suff w:val="space"/>
      <w:lvlText w:val="第%2章"/>
      <w:lvlJc w:val="left"/>
      <w:pPr>
        <w:ind w:left="1200" w:hanging="1200"/>
      </w:pPr>
      <w:rPr>
        <w:rFonts w:ascii="メイリオ" w:eastAsia="メイリオ" w:hAnsi="メイリオ" w:hint="eastAsia"/>
        <w:b w:val="0"/>
        <w:i w:val="0"/>
        <w:sz w:val="28"/>
      </w:rPr>
    </w:lvl>
    <w:lvl w:ilvl="2">
      <w:start w:val="1"/>
      <w:numFmt w:val="decimalFullWidth"/>
      <w:lvlRestart w:val="0"/>
      <w:pStyle w:val="3"/>
      <w:suff w:val="nothing"/>
      <w:lvlText w:val="%3．"/>
      <w:lvlJc w:val="left"/>
      <w:pPr>
        <w:ind w:left="600" w:hanging="600"/>
      </w:pPr>
      <w:rPr>
        <w:rFonts w:ascii="メイリオ" w:eastAsia="メイリオ" w:hAnsi="Arial Narrow" w:hint="eastAsia"/>
        <w:b w:val="0"/>
        <w:i w:val="0"/>
        <w:sz w:val="24"/>
        <w:lang w:val="en-US"/>
      </w:rPr>
    </w:lvl>
    <w:lvl w:ilvl="3">
      <w:start w:val="1"/>
      <w:numFmt w:val="decimalFullWidth"/>
      <w:pStyle w:val="4"/>
      <w:suff w:val="space"/>
      <w:lvlText w:val="%3.%4"/>
      <w:lvlJc w:val="left"/>
      <w:pPr>
        <w:ind w:left="840" w:hanging="727"/>
      </w:pPr>
      <w:rPr>
        <w:rFonts w:ascii="メイリオ" w:eastAsia="メイリオ" w:hAnsi="Arial Narrow" w:hint="eastAsia"/>
        <w:b w:val="0"/>
        <w:i w:val="0"/>
        <w:sz w:val="22"/>
      </w:rPr>
    </w:lvl>
    <w:lvl w:ilvl="4">
      <w:start w:val="1"/>
      <w:numFmt w:val="decimalFullWidth"/>
      <w:pStyle w:val="5"/>
      <w:suff w:val="space"/>
      <w:lvlText w:val="%3.%4.%5"/>
      <w:lvlJc w:val="left"/>
      <w:pPr>
        <w:ind w:left="1120" w:hanging="950"/>
      </w:pPr>
      <w:rPr>
        <w:rFonts w:ascii="メイリオ" w:eastAsia="メイリオ" w:hAnsi="Arial Narrow" w:hint="eastAsia"/>
        <w:b w:val="0"/>
        <w:i w:val="0"/>
        <w:sz w:val="21"/>
        <w:lang w:val="en-US"/>
      </w:rPr>
    </w:lvl>
    <w:lvl w:ilvl="5">
      <w:start w:val="1"/>
      <w:numFmt w:val="decimalFullWidth"/>
      <w:pStyle w:val="6"/>
      <w:suff w:val="nothing"/>
      <w:lvlText w:val="（%6）"/>
      <w:lvlJc w:val="left"/>
      <w:pPr>
        <w:ind w:left="1420" w:hanging="1307"/>
      </w:pPr>
      <w:rPr>
        <w:rFonts w:ascii="メイリオ" w:eastAsia="メイリオ" w:hAnsi="メイリオ" w:hint="eastAsia"/>
        <w:b w:val="0"/>
        <w:i w:val="0"/>
        <w:sz w:val="21"/>
      </w:rPr>
    </w:lvl>
    <w:lvl w:ilvl="6">
      <w:start w:val="1"/>
      <w:numFmt w:val="decimal"/>
      <w:pStyle w:val="7"/>
      <w:suff w:val="nothing"/>
      <w:lvlText w:val="%7）"/>
      <w:lvlJc w:val="left"/>
      <w:pPr>
        <w:ind w:left="737" w:hanging="397"/>
      </w:pPr>
      <w:rPr>
        <w:rFonts w:ascii="Calibri" w:eastAsia="メイリオ" w:hAnsi="Calibri" w:hint="default"/>
        <w:b w:val="0"/>
        <w:i w:val="0"/>
        <w:sz w:val="21"/>
      </w:rPr>
    </w:lvl>
    <w:lvl w:ilvl="7">
      <w:start w:val="1"/>
      <w:numFmt w:val="decimalEnclosedCircle"/>
      <w:pStyle w:val="8"/>
      <w:suff w:val="nothing"/>
      <w:lvlText w:val="%8 "/>
      <w:lvlJc w:val="left"/>
      <w:pPr>
        <w:ind w:left="737" w:hanging="340"/>
      </w:pPr>
      <w:rPr>
        <w:rFonts w:ascii="Arial" w:eastAsia="ＭＳ ゴシック" w:hAnsi="Arial" w:hint="default"/>
        <w:b w:val="0"/>
        <w:i w:val="0"/>
        <w:sz w:val="21"/>
      </w:rPr>
    </w:lvl>
    <w:lvl w:ilvl="8">
      <w:start w:val="1"/>
      <w:numFmt w:val="lowerRoman"/>
      <w:pStyle w:val="9"/>
      <w:suff w:val="space"/>
      <w:lvlText w:val="%9)"/>
      <w:lvlJc w:val="left"/>
      <w:pPr>
        <w:ind w:left="936" w:hanging="426"/>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 w15:restartNumberingAfterBreak="0">
    <w:nsid w:val="0EC425BD"/>
    <w:multiLevelType w:val="hybridMultilevel"/>
    <w:tmpl w:val="EE4C5F6C"/>
    <w:lvl w:ilvl="0" w:tplc="04090009">
      <w:start w:val="1"/>
      <w:numFmt w:val="bullet"/>
      <w:lvlText w:val=""/>
      <w:lvlJc w:val="left"/>
      <w:pPr>
        <w:ind w:left="1725" w:hanging="420"/>
      </w:pPr>
      <w:rPr>
        <w:rFonts w:ascii="Wingdings" w:hAnsi="Wingdings" w:hint="default"/>
      </w:rPr>
    </w:lvl>
    <w:lvl w:ilvl="1" w:tplc="04090009">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 w15:restartNumberingAfterBreak="0">
    <w:nsid w:val="12947851"/>
    <w:multiLevelType w:val="hybridMultilevel"/>
    <w:tmpl w:val="412C9900"/>
    <w:lvl w:ilvl="0" w:tplc="04090001">
      <w:start w:val="1"/>
      <w:numFmt w:val="bullet"/>
      <w:lvlText w:val=""/>
      <w:lvlJc w:val="left"/>
      <w:pPr>
        <w:ind w:left="1271" w:hanging="420"/>
      </w:pPr>
      <w:rPr>
        <w:rFonts w:ascii="Wingdings" w:hAnsi="Wingdings" w:hint="default"/>
      </w:rPr>
    </w:lvl>
    <w:lvl w:ilvl="1" w:tplc="04090009">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13A9794B"/>
    <w:multiLevelType w:val="hybridMultilevel"/>
    <w:tmpl w:val="17FEEA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B742B2"/>
    <w:multiLevelType w:val="hybridMultilevel"/>
    <w:tmpl w:val="DCCAB33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3E3721E"/>
    <w:multiLevelType w:val="hybridMultilevel"/>
    <w:tmpl w:val="4F3413F4"/>
    <w:lvl w:ilvl="0" w:tplc="97041F7C">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8A5859"/>
    <w:multiLevelType w:val="hybridMultilevel"/>
    <w:tmpl w:val="12EA0D40"/>
    <w:lvl w:ilvl="0" w:tplc="04090001">
      <w:start w:val="1"/>
      <w:numFmt w:val="bullet"/>
      <w:lvlText w:val=""/>
      <w:lvlJc w:val="left"/>
      <w:pPr>
        <w:ind w:left="1271" w:hanging="420"/>
      </w:pPr>
      <w:rPr>
        <w:rFonts w:ascii="Wingdings" w:hAnsi="Wingdings" w:hint="default"/>
      </w:rPr>
    </w:lvl>
    <w:lvl w:ilvl="1" w:tplc="04090009">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15:restartNumberingAfterBreak="0">
    <w:nsid w:val="25CA67D3"/>
    <w:multiLevelType w:val="hybridMultilevel"/>
    <w:tmpl w:val="F76206C6"/>
    <w:lvl w:ilvl="0" w:tplc="04090009">
      <w:start w:val="1"/>
      <w:numFmt w:val="bullet"/>
      <w:lvlText w:val=""/>
      <w:lvlJc w:val="left"/>
      <w:pPr>
        <w:ind w:left="1029" w:hanging="360"/>
      </w:pPr>
      <w:rPr>
        <w:rFonts w:ascii="Wingdings" w:hAnsi="Wingdings" w:hint="default"/>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8" w15:restartNumberingAfterBreak="0">
    <w:nsid w:val="260F5690"/>
    <w:multiLevelType w:val="hybridMultilevel"/>
    <w:tmpl w:val="43AC91BC"/>
    <w:lvl w:ilvl="0" w:tplc="0409000B">
      <w:start w:val="1"/>
      <w:numFmt w:val="bullet"/>
      <w:lvlText w:val=""/>
      <w:lvlJc w:val="left"/>
      <w:pPr>
        <w:ind w:left="1305" w:hanging="420"/>
      </w:pPr>
      <w:rPr>
        <w:rFonts w:ascii="Wingdings" w:hAnsi="Wingdings" w:hint="default"/>
      </w:rPr>
    </w:lvl>
    <w:lvl w:ilvl="1" w:tplc="04090009">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9" w15:restartNumberingAfterBreak="0">
    <w:nsid w:val="261C3EC8"/>
    <w:multiLevelType w:val="hybridMultilevel"/>
    <w:tmpl w:val="84AC51BE"/>
    <w:lvl w:ilvl="0" w:tplc="7E40DBEC">
      <w:start w:val="1"/>
      <w:numFmt w:val="aiueo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7DB3349"/>
    <w:multiLevelType w:val="hybridMultilevel"/>
    <w:tmpl w:val="4CDE40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EE4873"/>
    <w:multiLevelType w:val="hybridMultilevel"/>
    <w:tmpl w:val="F97826FA"/>
    <w:lvl w:ilvl="0" w:tplc="0409000F">
      <w:start w:val="1"/>
      <w:numFmt w:val="decimal"/>
      <w:lvlText w:val="%1."/>
      <w:lvlJc w:val="left"/>
      <w:pPr>
        <w:ind w:left="360" w:hanging="360"/>
      </w:pPr>
      <w:rPr>
        <w:rFonts w:hint="default"/>
        <w:b/>
        <w:color w:val="C00000"/>
      </w:rPr>
    </w:lvl>
    <w:lvl w:ilvl="1" w:tplc="04090013">
      <w:start w:val="1"/>
      <w:numFmt w:val="upperRoman"/>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073B9"/>
    <w:multiLevelType w:val="multilevel"/>
    <w:tmpl w:val="EB0E280A"/>
    <w:styleLink w:val="10"/>
    <w:lvl w:ilvl="0">
      <w:start w:val="1"/>
      <w:numFmt w:val="upperRoman"/>
      <w:suff w:val="space"/>
      <w:lvlText w:val="%1."/>
      <w:lvlJc w:val="left"/>
      <w:pPr>
        <w:ind w:left="1300" w:hanging="1300"/>
      </w:pPr>
      <w:rPr>
        <w:rFonts w:ascii="Times New Roman" w:eastAsia="ＭＳ ゴシック" w:hAnsi="Times New Roman" w:hint="eastAsia"/>
        <w:sz w:val="28"/>
        <w:szCs w:val="28"/>
      </w:rPr>
    </w:lvl>
    <w:lvl w:ilvl="1">
      <w:start w:val="1"/>
      <w:numFmt w:val="decimalFullWidth"/>
      <w:suff w:val="nothing"/>
      <w:lvlText w:val="第%2章　"/>
      <w:lvlJc w:val="left"/>
      <w:pPr>
        <w:ind w:left="2100" w:hanging="1128"/>
      </w:pPr>
      <w:rPr>
        <w:rFonts w:ascii="メイリオ" w:eastAsia="ＭＳ ゴシック" w:hAnsi="メイリオ" w:hint="eastAsia"/>
        <w:sz w:val="28"/>
      </w:rPr>
    </w:lvl>
    <w:lvl w:ilvl="2">
      <w:start w:val="1"/>
      <w:numFmt w:val="decimalFullWidth"/>
      <w:suff w:val="nothing"/>
      <w:lvlText w:val="%3．"/>
      <w:lvlJc w:val="left"/>
      <w:pPr>
        <w:ind w:left="1500" w:hanging="600"/>
      </w:pPr>
      <w:rPr>
        <w:rFonts w:ascii="Arial Narrow" w:eastAsia="メイリオ" w:hAnsi="Arial Narrow" w:hint="default"/>
        <w:b w:val="0"/>
        <w:i w:val="0"/>
        <w:sz w:val="24"/>
        <w:lang w:val="en-US"/>
      </w:rPr>
    </w:lvl>
    <w:lvl w:ilvl="3">
      <w:start w:val="1"/>
      <w:numFmt w:val="decimalFullWidth"/>
      <w:suff w:val="space"/>
      <w:lvlText w:val="%3.%4 "/>
      <w:lvlJc w:val="left"/>
      <w:pPr>
        <w:ind w:left="1740" w:hanging="727"/>
      </w:pPr>
      <w:rPr>
        <w:rFonts w:ascii="Arial Narrow" w:eastAsia="メイリオ" w:hAnsi="Arial Narrow" w:hint="default"/>
        <w:b w:val="0"/>
        <w:i w:val="0"/>
        <w:sz w:val="22"/>
      </w:rPr>
    </w:lvl>
    <w:lvl w:ilvl="4">
      <w:start w:val="1"/>
      <w:numFmt w:val="decimalFullWidth"/>
      <w:suff w:val="nothing"/>
      <w:lvlText w:val="%3.%4.%5  "/>
      <w:lvlJc w:val="left"/>
      <w:pPr>
        <w:ind w:left="2020" w:hanging="950"/>
      </w:pPr>
      <w:rPr>
        <w:rFonts w:ascii="Arial Narrow" w:eastAsia="メイリオ" w:hAnsi="Arial Narrow" w:hint="default"/>
        <w:b w:val="0"/>
        <w:i w:val="0"/>
        <w:sz w:val="21"/>
        <w:lang w:val="en-US"/>
      </w:rPr>
    </w:lvl>
    <w:lvl w:ilvl="5">
      <w:start w:val="1"/>
      <w:numFmt w:val="decimal"/>
      <w:suff w:val="nothing"/>
      <w:lvlText w:val="（%6）"/>
      <w:lvlJc w:val="left"/>
      <w:pPr>
        <w:ind w:left="2320" w:hanging="2320"/>
      </w:pPr>
      <w:rPr>
        <w:rFonts w:ascii="Arial" w:eastAsia="メイリオ" w:hAnsi="Arial" w:hint="default"/>
        <w:b w:val="0"/>
        <w:i w:val="0"/>
        <w:sz w:val="21"/>
      </w:rPr>
    </w:lvl>
    <w:lvl w:ilvl="6">
      <w:start w:val="1"/>
      <w:numFmt w:val="decimal"/>
      <w:suff w:val="nothing"/>
      <w:lvlText w:val="%7）"/>
      <w:lvlJc w:val="left"/>
      <w:pPr>
        <w:ind w:left="1637" w:hanging="340"/>
      </w:pPr>
      <w:rPr>
        <w:rFonts w:ascii="Arial" w:eastAsia="ＭＳ ゴシック" w:hAnsi="Arial" w:hint="default"/>
        <w:b w:val="0"/>
        <w:i w:val="0"/>
        <w:sz w:val="21"/>
      </w:rPr>
    </w:lvl>
    <w:lvl w:ilvl="7">
      <w:start w:val="1"/>
      <w:numFmt w:val="decimalEnclosedCircle"/>
      <w:suff w:val="nothing"/>
      <w:lvlText w:val="%8 "/>
      <w:lvlJc w:val="left"/>
      <w:pPr>
        <w:ind w:left="1637" w:hanging="283"/>
      </w:pPr>
      <w:rPr>
        <w:rFonts w:ascii="Arial" w:eastAsia="ＭＳ ゴシック" w:hAnsi="Arial" w:hint="default"/>
        <w:b w:val="0"/>
        <w:i w:val="0"/>
        <w:sz w:val="21"/>
      </w:rPr>
    </w:lvl>
    <w:lvl w:ilvl="8">
      <w:start w:val="1"/>
      <w:numFmt w:val="lowerRoman"/>
      <w:suff w:val="space"/>
      <w:lvlText w:val="%9)"/>
      <w:lvlJc w:val="left"/>
      <w:pPr>
        <w:ind w:left="1836" w:hanging="360"/>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3" w15:restartNumberingAfterBreak="0">
    <w:nsid w:val="341F4A00"/>
    <w:multiLevelType w:val="hybridMultilevel"/>
    <w:tmpl w:val="4F3413F4"/>
    <w:lvl w:ilvl="0" w:tplc="97041F7C">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645489"/>
    <w:multiLevelType w:val="hybridMultilevel"/>
    <w:tmpl w:val="8D56C0D4"/>
    <w:lvl w:ilvl="0" w:tplc="04090009">
      <w:start w:val="1"/>
      <w:numFmt w:val="bullet"/>
      <w:lvlText w:val=""/>
      <w:lvlJc w:val="left"/>
      <w:pPr>
        <w:ind w:left="1515"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C972150"/>
    <w:multiLevelType w:val="hybridMultilevel"/>
    <w:tmpl w:val="4F40CF78"/>
    <w:lvl w:ilvl="0" w:tplc="DA1AC43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733883"/>
    <w:multiLevelType w:val="hybridMultilevel"/>
    <w:tmpl w:val="AFE8E564"/>
    <w:lvl w:ilvl="0" w:tplc="05BE8252">
      <w:start w:val="1"/>
      <w:numFmt w:val="bullet"/>
      <w:pStyle w:val="11"/>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pStyle w:val="20"/>
      <w:lvlText w:val=""/>
      <w:lvlJc w:val="left"/>
      <w:pPr>
        <w:ind w:left="1680" w:hanging="420"/>
      </w:pPr>
      <w:rPr>
        <w:rFonts w:ascii="Wingdings" w:hAnsi="Wingdings" w:hint="default"/>
      </w:rPr>
    </w:lvl>
    <w:lvl w:ilvl="3" w:tplc="D7BE230A">
      <w:start w:val="1"/>
      <w:numFmt w:val="bullet"/>
      <w:pStyle w:val="30"/>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4BA4425"/>
    <w:multiLevelType w:val="hybridMultilevel"/>
    <w:tmpl w:val="7ED2C7E8"/>
    <w:lvl w:ilvl="0" w:tplc="66C88DB4">
      <w:start w:val="1"/>
      <w:numFmt w:val="lowerLetter"/>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4B0A784C"/>
    <w:multiLevelType w:val="hybridMultilevel"/>
    <w:tmpl w:val="8D2AFD5E"/>
    <w:lvl w:ilvl="0" w:tplc="BCDCDC5E">
      <w:start w:val="1"/>
      <w:numFmt w:val="aiueo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0C56418"/>
    <w:multiLevelType w:val="hybridMultilevel"/>
    <w:tmpl w:val="00F2BA16"/>
    <w:lvl w:ilvl="0" w:tplc="2402C194">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57B04C6C"/>
    <w:multiLevelType w:val="hybridMultilevel"/>
    <w:tmpl w:val="170EB8F4"/>
    <w:lvl w:ilvl="0" w:tplc="453C68EC">
      <w:start w:val="4"/>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7C590F"/>
    <w:multiLevelType w:val="hybridMultilevel"/>
    <w:tmpl w:val="BE3A556E"/>
    <w:lvl w:ilvl="0" w:tplc="627A8152">
      <w:start w:val="1"/>
      <w:numFmt w:val="lowerLetter"/>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65831981"/>
    <w:multiLevelType w:val="hybridMultilevel"/>
    <w:tmpl w:val="52A621E0"/>
    <w:lvl w:ilvl="0" w:tplc="E8E8BB66">
      <w:numFmt w:val="bullet"/>
      <w:pStyle w:val="40"/>
      <w:lvlText w:val="・"/>
      <w:lvlJc w:val="left"/>
      <w:pPr>
        <w:ind w:left="1696" w:hanging="420"/>
      </w:pPr>
      <w:rPr>
        <w:rFonts w:ascii="ＭＳ 明朝" w:eastAsia="ＭＳ 明朝" w:hAnsi="ＭＳ 明朝"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3" w15:restartNumberingAfterBreak="0">
    <w:nsid w:val="682D4EF5"/>
    <w:multiLevelType w:val="hybridMultilevel"/>
    <w:tmpl w:val="A10E198E"/>
    <w:lvl w:ilvl="0" w:tplc="04090009">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24" w15:restartNumberingAfterBreak="0">
    <w:nsid w:val="6A9D55C9"/>
    <w:multiLevelType w:val="hybridMultilevel"/>
    <w:tmpl w:val="6C22B566"/>
    <w:lvl w:ilvl="0" w:tplc="507E565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0C56AB"/>
    <w:multiLevelType w:val="hybridMultilevel"/>
    <w:tmpl w:val="39363354"/>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6F70722D"/>
    <w:multiLevelType w:val="hybridMultilevel"/>
    <w:tmpl w:val="7EA29C5E"/>
    <w:lvl w:ilvl="0" w:tplc="9ACCEE46">
      <w:start w:val="1"/>
      <w:numFmt w:val="decimal"/>
      <w:lvlText w:val="%1."/>
      <w:lvlJc w:val="left"/>
      <w:pPr>
        <w:ind w:left="886" w:hanging="360"/>
      </w:pPr>
      <w:rPr>
        <w:rFonts w:hint="default"/>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27" w15:restartNumberingAfterBreak="0">
    <w:nsid w:val="6F7C43DC"/>
    <w:multiLevelType w:val="hybridMultilevel"/>
    <w:tmpl w:val="23B2D694"/>
    <w:lvl w:ilvl="0" w:tplc="9330471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AF0362"/>
    <w:multiLevelType w:val="hybridMultilevel"/>
    <w:tmpl w:val="365CC766"/>
    <w:lvl w:ilvl="0" w:tplc="3E1E5194">
      <w:start w:val="1"/>
      <w:numFmt w:val="bullet"/>
      <w:pStyle w:val="0"/>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9" w15:restartNumberingAfterBreak="0">
    <w:nsid w:val="77C10916"/>
    <w:multiLevelType w:val="hybridMultilevel"/>
    <w:tmpl w:val="908E013A"/>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0" w15:restartNumberingAfterBreak="0">
    <w:nsid w:val="7AE7488A"/>
    <w:multiLevelType w:val="hybridMultilevel"/>
    <w:tmpl w:val="18385A5A"/>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28"/>
  </w:num>
  <w:num w:numId="2">
    <w:abstractNumId w:val="0"/>
  </w:num>
  <w:num w:numId="3">
    <w:abstractNumId w:val="12"/>
  </w:num>
  <w:num w:numId="4">
    <w:abstractNumId w:val="16"/>
  </w:num>
  <w:num w:numId="5">
    <w:abstractNumId w:val="22"/>
  </w:num>
  <w:num w:numId="6">
    <w:abstractNumId w:val="4"/>
  </w:num>
  <w:num w:numId="7">
    <w:abstractNumId w:val="7"/>
  </w:num>
  <w:num w:numId="8">
    <w:abstractNumId w:val="9"/>
  </w:num>
  <w:num w:numId="9">
    <w:abstractNumId w:val="18"/>
  </w:num>
  <w:num w:numId="10">
    <w:abstractNumId w:val="20"/>
  </w:num>
  <w:num w:numId="11">
    <w:abstractNumId w:val="24"/>
  </w:num>
  <w:num w:numId="12">
    <w:abstractNumId w:val="27"/>
  </w:num>
  <w:num w:numId="13">
    <w:abstractNumId w:val="5"/>
  </w:num>
  <w:num w:numId="14">
    <w:abstractNumId w:val="13"/>
  </w:num>
  <w:num w:numId="15">
    <w:abstractNumId w:val="15"/>
  </w:num>
  <w:num w:numId="16">
    <w:abstractNumId w:val="11"/>
  </w:num>
  <w:num w:numId="17">
    <w:abstractNumId w:val="25"/>
  </w:num>
  <w:num w:numId="18">
    <w:abstractNumId w:val="19"/>
  </w:num>
  <w:num w:numId="19">
    <w:abstractNumId w:val="14"/>
  </w:num>
  <w:num w:numId="20">
    <w:abstractNumId w:val="26"/>
  </w:num>
  <w:num w:numId="21">
    <w:abstractNumId w:val="21"/>
  </w:num>
  <w:num w:numId="22">
    <w:abstractNumId w:val="8"/>
  </w:num>
  <w:num w:numId="23">
    <w:abstractNumId w:val="29"/>
  </w:num>
  <w:num w:numId="24">
    <w:abstractNumId w:val="2"/>
  </w:num>
  <w:num w:numId="25">
    <w:abstractNumId w:val="23"/>
  </w:num>
  <w:num w:numId="26">
    <w:abstractNumId w:val="6"/>
  </w:num>
  <w:num w:numId="27">
    <w:abstractNumId w:val="1"/>
  </w:num>
  <w:num w:numId="28">
    <w:abstractNumId w:val="0"/>
  </w:num>
  <w:num w:numId="29">
    <w:abstractNumId w:val="0"/>
  </w:num>
  <w:num w:numId="30">
    <w:abstractNumId w:val="0"/>
  </w:num>
  <w:num w:numId="31">
    <w:abstractNumId w:val="0"/>
  </w:num>
  <w:num w:numId="32">
    <w:abstractNumId w:val="10"/>
  </w:num>
  <w:num w:numId="33">
    <w:abstractNumId w:val="3"/>
  </w:num>
  <w:num w:numId="34">
    <w:abstractNumId w:val="30"/>
  </w:num>
  <w:num w:numId="3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evenAndOddHeaders/>
  <w:drawingGridHorizontalSpacing w:val="105"/>
  <w:drawingGridVerticalSpacing w:val="353"/>
  <w:displayHorizontalDrawingGridEvery w:val="0"/>
  <w:characterSpacingControl w:val="compressPunctuation"/>
  <w:strictFirstAndLastChars/>
  <w:hdrShapeDefaults>
    <o:shapedefaults v:ext="edit" spidmax="184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LQ0NTQ0sDA0MjazNDBS0lEKTi0uzszPAykwMqoFAAeVtSMtAAAA"/>
  </w:docVars>
  <w:rsids>
    <w:rsidRoot w:val="00BB3771"/>
    <w:rsid w:val="0001166C"/>
    <w:rsid w:val="00022289"/>
    <w:rsid w:val="00027802"/>
    <w:rsid w:val="00030392"/>
    <w:rsid w:val="00050C6B"/>
    <w:rsid w:val="00054F82"/>
    <w:rsid w:val="00060F4A"/>
    <w:rsid w:val="00063850"/>
    <w:rsid w:val="00080F2F"/>
    <w:rsid w:val="000847C8"/>
    <w:rsid w:val="0008560E"/>
    <w:rsid w:val="00086397"/>
    <w:rsid w:val="000A7645"/>
    <w:rsid w:val="000B2B74"/>
    <w:rsid w:val="000C1C07"/>
    <w:rsid w:val="000F04A3"/>
    <w:rsid w:val="000F12BD"/>
    <w:rsid w:val="000F5082"/>
    <w:rsid w:val="000F53D1"/>
    <w:rsid w:val="000F65C4"/>
    <w:rsid w:val="001023EF"/>
    <w:rsid w:val="00105CDB"/>
    <w:rsid w:val="0010743E"/>
    <w:rsid w:val="00112FC4"/>
    <w:rsid w:val="00114C2D"/>
    <w:rsid w:val="00136708"/>
    <w:rsid w:val="001376EC"/>
    <w:rsid w:val="0014626B"/>
    <w:rsid w:val="001630D6"/>
    <w:rsid w:val="00165AF5"/>
    <w:rsid w:val="00167413"/>
    <w:rsid w:val="00170DCC"/>
    <w:rsid w:val="0017497D"/>
    <w:rsid w:val="001828C0"/>
    <w:rsid w:val="001B5457"/>
    <w:rsid w:val="001B696E"/>
    <w:rsid w:val="001D286B"/>
    <w:rsid w:val="001E052D"/>
    <w:rsid w:val="001E0AB3"/>
    <w:rsid w:val="001E56BF"/>
    <w:rsid w:val="001F0452"/>
    <w:rsid w:val="001F719C"/>
    <w:rsid w:val="00200E94"/>
    <w:rsid w:val="00202D94"/>
    <w:rsid w:val="00203ADC"/>
    <w:rsid w:val="00203E4D"/>
    <w:rsid w:val="002148D7"/>
    <w:rsid w:val="002232DE"/>
    <w:rsid w:val="00223BC5"/>
    <w:rsid w:val="00225B28"/>
    <w:rsid w:val="00230A2E"/>
    <w:rsid w:val="00237D03"/>
    <w:rsid w:val="00241313"/>
    <w:rsid w:val="00244F0E"/>
    <w:rsid w:val="00250CF1"/>
    <w:rsid w:val="002514FD"/>
    <w:rsid w:val="0026536E"/>
    <w:rsid w:val="002728F2"/>
    <w:rsid w:val="002748AA"/>
    <w:rsid w:val="00275008"/>
    <w:rsid w:val="002867B9"/>
    <w:rsid w:val="00286CEE"/>
    <w:rsid w:val="00291D62"/>
    <w:rsid w:val="00293B8A"/>
    <w:rsid w:val="00293F3E"/>
    <w:rsid w:val="00293FEC"/>
    <w:rsid w:val="002A2CB5"/>
    <w:rsid w:val="002B49A2"/>
    <w:rsid w:val="002C433D"/>
    <w:rsid w:val="002D4324"/>
    <w:rsid w:val="002E0D86"/>
    <w:rsid w:val="002E7579"/>
    <w:rsid w:val="00300A17"/>
    <w:rsid w:val="00301D95"/>
    <w:rsid w:val="0030572F"/>
    <w:rsid w:val="00306DC4"/>
    <w:rsid w:val="003179A0"/>
    <w:rsid w:val="0032082C"/>
    <w:rsid w:val="003259EE"/>
    <w:rsid w:val="00326B5A"/>
    <w:rsid w:val="003338E8"/>
    <w:rsid w:val="00337EC5"/>
    <w:rsid w:val="00362091"/>
    <w:rsid w:val="0036462A"/>
    <w:rsid w:val="003714C5"/>
    <w:rsid w:val="003A4C98"/>
    <w:rsid w:val="003A5009"/>
    <w:rsid w:val="003B10AE"/>
    <w:rsid w:val="003B51D8"/>
    <w:rsid w:val="003B6104"/>
    <w:rsid w:val="003E374E"/>
    <w:rsid w:val="003F480B"/>
    <w:rsid w:val="003F7090"/>
    <w:rsid w:val="00401A37"/>
    <w:rsid w:val="00404032"/>
    <w:rsid w:val="00410CD6"/>
    <w:rsid w:val="00411023"/>
    <w:rsid w:val="00414E7C"/>
    <w:rsid w:val="00415503"/>
    <w:rsid w:val="0041743C"/>
    <w:rsid w:val="00425A7F"/>
    <w:rsid w:val="0043290A"/>
    <w:rsid w:val="00441705"/>
    <w:rsid w:val="00451421"/>
    <w:rsid w:val="00451D44"/>
    <w:rsid w:val="004720DC"/>
    <w:rsid w:val="00474147"/>
    <w:rsid w:val="00474424"/>
    <w:rsid w:val="00474A92"/>
    <w:rsid w:val="00492B37"/>
    <w:rsid w:val="004967C4"/>
    <w:rsid w:val="00497DEB"/>
    <w:rsid w:val="004A1DEF"/>
    <w:rsid w:val="004A2FA0"/>
    <w:rsid w:val="004A3A17"/>
    <w:rsid w:val="004A7A5F"/>
    <w:rsid w:val="004B7D67"/>
    <w:rsid w:val="004C0F9A"/>
    <w:rsid w:val="004C542D"/>
    <w:rsid w:val="004D0989"/>
    <w:rsid w:val="004D7B7A"/>
    <w:rsid w:val="005034D9"/>
    <w:rsid w:val="00503A08"/>
    <w:rsid w:val="0050618C"/>
    <w:rsid w:val="00507E6E"/>
    <w:rsid w:val="005134C9"/>
    <w:rsid w:val="0052117C"/>
    <w:rsid w:val="00527C54"/>
    <w:rsid w:val="005306B5"/>
    <w:rsid w:val="00532566"/>
    <w:rsid w:val="005333F7"/>
    <w:rsid w:val="00533A68"/>
    <w:rsid w:val="00544604"/>
    <w:rsid w:val="005630D2"/>
    <w:rsid w:val="00563664"/>
    <w:rsid w:val="005666B4"/>
    <w:rsid w:val="005730E1"/>
    <w:rsid w:val="00573D17"/>
    <w:rsid w:val="00575C7D"/>
    <w:rsid w:val="005774B5"/>
    <w:rsid w:val="00580E02"/>
    <w:rsid w:val="00581673"/>
    <w:rsid w:val="00582CCE"/>
    <w:rsid w:val="00582F70"/>
    <w:rsid w:val="00584742"/>
    <w:rsid w:val="00585573"/>
    <w:rsid w:val="0059032F"/>
    <w:rsid w:val="00590DE1"/>
    <w:rsid w:val="00593888"/>
    <w:rsid w:val="00593F46"/>
    <w:rsid w:val="005A5E47"/>
    <w:rsid w:val="005B159E"/>
    <w:rsid w:val="005B56BB"/>
    <w:rsid w:val="005B732B"/>
    <w:rsid w:val="005C5548"/>
    <w:rsid w:val="005D119B"/>
    <w:rsid w:val="005E3362"/>
    <w:rsid w:val="005E4A0C"/>
    <w:rsid w:val="005F53A3"/>
    <w:rsid w:val="00601043"/>
    <w:rsid w:val="00613F98"/>
    <w:rsid w:val="00614F87"/>
    <w:rsid w:val="00615886"/>
    <w:rsid w:val="00616A8B"/>
    <w:rsid w:val="006216DB"/>
    <w:rsid w:val="00630856"/>
    <w:rsid w:val="00631307"/>
    <w:rsid w:val="006355C3"/>
    <w:rsid w:val="0064107C"/>
    <w:rsid w:val="006432F0"/>
    <w:rsid w:val="0065047A"/>
    <w:rsid w:val="0066007F"/>
    <w:rsid w:val="00661A70"/>
    <w:rsid w:val="00671888"/>
    <w:rsid w:val="006827FA"/>
    <w:rsid w:val="00684E1D"/>
    <w:rsid w:val="006872BD"/>
    <w:rsid w:val="0068744C"/>
    <w:rsid w:val="0069290E"/>
    <w:rsid w:val="006954AB"/>
    <w:rsid w:val="00697D71"/>
    <w:rsid w:val="006A1F6A"/>
    <w:rsid w:val="006B61BC"/>
    <w:rsid w:val="006B6E40"/>
    <w:rsid w:val="006C2D48"/>
    <w:rsid w:val="006C4ED1"/>
    <w:rsid w:val="006C73C3"/>
    <w:rsid w:val="006C7A34"/>
    <w:rsid w:val="006D0AA8"/>
    <w:rsid w:val="006D0AE8"/>
    <w:rsid w:val="006D7F62"/>
    <w:rsid w:val="006E4804"/>
    <w:rsid w:val="006E6A1E"/>
    <w:rsid w:val="006F2D9A"/>
    <w:rsid w:val="006F65D2"/>
    <w:rsid w:val="0071225F"/>
    <w:rsid w:val="00737674"/>
    <w:rsid w:val="00740C4A"/>
    <w:rsid w:val="007420A4"/>
    <w:rsid w:val="00751170"/>
    <w:rsid w:val="0075409F"/>
    <w:rsid w:val="00754EE0"/>
    <w:rsid w:val="00754F79"/>
    <w:rsid w:val="00763CC5"/>
    <w:rsid w:val="00777C7C"/>
    <w:rsid w:val="007812A4"/>
    <w:rsid w:val="00786CBD"/>
    <w:rsid w:val="00794087"/>
    <w:rsid w:val="007A61B9"/>
    <w:rsid w:val="007A69C5"/>
    <w:rsid w:val="007A7497"/>
    <w:rsid w:val="007A7E1A"/>
    <w:rsid w:val="007B4A0B"/>
    <w:rsid w:val="007C2093"/>
    <w:rsid w:val="007C493C"/>
    <w:rsid w:val="007C6D25"/>
    <w:rsid w:val="007D0E2F"/>
    <w:rsid w:val="007D1C38"/>
    <w:rsid w:val="007D60A3"/>
    <w:rsid w:val="007D6D06"/>
    <w:rsid w:val="007D7160"/>
    <w:rsid w:val="007E1A2A"/>
    <w:rsid w:val="007E579C"/>
    <w:rsid w:val="007F386D"/>
    <w:rsid w:val="00801C0C"/>
    <w:rsid w:val="0080519B"/>
    <w:rsid w:val="0082030A"/>
    <w:rsid w:val="008261F0"/>
    <w:rsid w:val="00830B04"/>
    <w:rsid w:val="00847815"/>
    <w:rsid w:val="00851D5D"/>
    <w:rsid w:val="0086795C"/>
    <w:rsid w:val="00884948"/>
    <w:rsid w:val="00892FA0"/>
    <w:rsid w:val="00894DF8"/>
    <w:rsid w:val="008A25A2"/>
    <w:rsid w:val="008B535B"/>
    <w:rsid w:val="008C16A1"/>
    <w:rsid w:val="008D6715"/>
    <w:rsid w:val="008E04E9"/>
    <w:rsid w:val="008E0A8C"/>
    <w:rsid w:val="008E0AD4"/>
    <w:rsid w:val="008E2AEF"/>
    <w:rsid w:val="008E3B7A"/>
    <w:rsid w:val="008E4A37"/>
    <w:rsid w:val="008F2C1D"/>
    <w:rsid w:val="00924A01"/>
    <w:rsid w:val="0092724D"/>
    <w:rsid w:val="0093026E"/>
    <w:rsid w:val="0093096F"/>
    <w:rsid w:val="00931557"/>
    <w:rsid w:val="00932925"/>
    <w:rsid w:val="0093335F"/>
    <w:rsid w:val="00933A0E"/>
    <w:rsid w:val="00940A20"/>
    <w:rsid w:val="009524A2"/>
    <w:rsid w:val="009539B9"/>
    <w:rsid w:val="00957255"/>
    <w:rsid w:val="00972A2F"/>
    <w:rsid w:val="00974BFD"/>
    <w:rsid w:val="00985EE7"/>
    <w:rsid w:val="009A1540"/>
    <w:rsid w:val="009B0306"/>
    <w:rsid w:val="009E0594"/>
    <w:rsid w:val="009E1E78"/>
    <w:rsid w:val="009E1E95"/>
    <w:rsid w:val="009E4758"/>
    <w:rsid w:val="009F47A1"/>
    <w:rsid w:val="009F6499"/>
    <w:rsid w:val="00A04096"/>
    <w:rsid w:val="00A16167"/>
    <w:rsid w:val="00A177B6"/>
    <w:rsid w:val="00A26E22"/>
    <w:rsid w:val="00A37661"/>
    <w:rsid w:val="00A616B5"/>
    <w:rsid w:val="00A62E0A"/>
    <w:rsid w:val="00A732BD"/>
    <w:rsid w:val="00A75C21"/>
    <w:rsid w:val="00A8482F"/>
    <w:rsid w:val="00A853C6"/>
    <w:rsid w:val="00A87862"/>
    <w:rsid w:val="00A9508D"/>
    <w:rsid w:val="00A957E6"/>
    <w:rsid w:val="00AA01D1"/>
    <w:rsid w:val="00AA1C69"/>
    <w:rsid w:val="00AB37C4"/>
    <w:rsid w:val="00AB57DA"/>
    <w:rsid w:val="00AC2247"/>
    <w:rsid w:val="00AC2EC3"/>
    <w:rsid w:val="00AD10C4"/>
    <w:rsid w:val="00AD5141"/>
    <w:rsid w:val="00AD6DA1"/>
    <w:rsid w:val="00AD7BBF"/>
    <w:rsid w:val="00AE529A"/>
    <w:rsid w:val="00AE7CBB"/>
    <w:rsid w:val="00B05F2D"/>
    <w:rsid w:val="00B14600"/>
    <w:rsid w:val="00B1673F"/>
    <w:rsid w:val="00B229E3"/>
    <w:rsid w:val="00B25C09"/>
    <w:rsid w:val="00B34E01"/>
    <w:rsid w:val="00B40685"/>
    <w:rsid w:val="00B41D25"/>
    <w:rsid w:val="00B50F51"/>
    <w:rsid w:val="00B53AA2"/>
    <w:rsid w:val="00B569DE"/>
    <w:rsid w:val="00B63747"/>
    <w:rsid w:val="00B764C0"/>
    <w:rsid w:val="00B77FC5"/>
    <w:rsid w:val="00B83731"/>
    <w:rsid w:val="00B87CC5"/>
    <w:rsid w:val="00B90F17"/>
    <w:rsid w:val="00B925D2"/>
    <w:rsid w:val="00B93544"/>
    <w:rsid w:val="00B9635A"/>
    <w:rsid w:val="00BA2B0C"/>
    <w:rsid w:val="00BB215F"/>
    <w:rsid w:val="00BB3128"/>
    <w:rsid w:val="00BB3771"/>
    <w:rsid w:val="00BB3FE6"/>
    <w:rsid w:val="00BB5252"/>
    <w:rsid w:val="00BC2694"/>
    <w:rsid w:val="00BC44A9"/>
    <w:rsid w:val="00BD5CC1"/>
    <w:rsid w:val="00BE30F9"/>
    <w:rsid w:val="00BF06E9"/>
    <w:rsid w:val="00BF2CB8"/>
    <w:rsid w:val="00BF406D"/>
    <w:rsid w:val="00C014C6"/>
    <w:rsid w:val="00C06E75"/>
    <w:rsid w:val="00C12DA5"/>
    <w:rsid w:val="00C14416"/>
    <w:rsid w:val="00C15A85"/>
    <w:rsid w:val="00C24504"/>
    <w:rsid w:val="00C37810"/>
    <w:rsid w:val="00C41329"/>
    <w:rsid w:val="00C54143"/>
    <w:rsid w:val="00C56A37"/>
    <w:rsid w:val="00C622F8"/>
    <w:rsid w:val="00C712B7"/>
    <w:rsid w:val="00C7239A"/>
    <w:rsid w:val="00C75A59"/>
    <w:rsid w:val="00C75D50"/>
    <w:rsid w:val="00C818F0"/>
    <w:rsid w:val="00C827EA"/>
    <w:rsid w:val="00CA273F"/>
    <w:rsid w:val="00CA7200"/>
    <w:rsid w:val="00CB494B"/>
    <w:rsid w:val="00CB5AD5"/>
    <w:rsid w:val="00CB676E"/>
    <w:rsid w:val="00CC73D5"/>
    <w:rsid w:val="00CD71C5"/>
    <w:rsid w:val="00CE1912"/>
    <w:rsid w:val="00D03526"/>
    <w:rsid w:val="00D06C44"/>
    <w:rsid w:val="00D07318"/>
    <w:rsid w:val="00D110FD"/>
    <w:rsid w:val="00D1515E"/>
    <w:rsid w:val="00D15286"/>
    <w:rsid w:val="00D157A9"/>
    <w:rsid w:val="00D2047B"/>
    <w:rsid w:val="00D20ABA"/>
    <w:rsid w:val="00D23F4E"/>
    <w:rsid w:val="00D26640"/>
    <w:rsid w:val="00D27DE5"/>
    <w:rsid w:val="00D303F0"/>
    <w:rsid w:val="00D33E03"/>
    <w:rsid w:val="00D365A2"/>
    <w:rsid w:val="00D4713E"/>
    <w:rsid w:val="00D56D13"/>
    <w:rsid w:val="00D63037"/>
    <w:rsid w:val="00D64FB0"/>
    <w:rsid w:val="00D66C0E"/>
    <w:rsid w:val="00D66CA1"/>
    <w:rsid w:val="00D7240F"/>
    <w:rsid w:val="00D74E06"/>
    <w:rsid w:val="00D86BF8"/>
    <w:rsid w:val="00D96482"/>
    <w:rsid w:val="00DA105E"/>
    <w:rsid w:val="00DA26AD"/>
    <w:rsid w:val="00DA2785"/>
    <w:rsid w:val="00DA30BF"/>
    <w:rsid w:val="00DA6E5A"/>
    <w:rsid w:val="00DB4B35"/>
    <w:rsid w:val="00DC1DC8"/>
    <w:rsid w:val="00DE61DD"/>
    <w:rsid w:val="00DE7887"/>
    <w:rsid w:val="00DF3175"/>
    <w:rsid w:val="00E02681"/>
    <w:rsid w:val="00E0791F"/>
    <w:rsid w:val="00E14AB5"/>
    <w:rsid w:val="00E1544A"/>
    <w:rsid w:val="00E15C57"/>
    <w:rsid w:val="00E35C06"/>
    <w:rsid w:val="00E501E0"/>
    <w:rsid w:val="00E50E12"/>
    <w:rsid w:val="00E51F1D"/>
    <w:rsid w:val="00E53553"/>
    <w:rsid w:val="00E64CB4"/>
    <w:rsid w:val="00E64DDF"/>
    <w:rsid w:val="00E667BD"/>
    <w:rsid w:val="00E71EA2"/>
    <w:rsid w:val="00E84753"/>
    <w:rsid w:val="00E94880"/>
    <w:rsid w:val="00E973C8"/>
    <w:rsid w:val="00E979CC"/>
    <w:rsid w:val="00EB2ECC"/>
    <w:rsid w:val="00EC3A69"/>
    <w:rsid w:val="00ED23CD"/>
    <w:rsid w:val="00ED63B1"/>
    <w:rsid w:val="00ED7F88"/>
    <w:rsid w:val="00EE0B23"/>
    <w:rsid w:val="00EE0DFE"/>
    <w:rsid w:val="00EE5BAC"/>
    <w:rsid w:val="00EE5E3A"/>
    <w:rsid w:val="00EF50E3"/>
    <w:rsid w:val="00F05D29"/>
    <w:rsid w:val="00F07A6A"/>
    <w:rsid w:val="00F11880"/>
    <w:rsid w:val="00F16A26"/>
    <w:rsid w:val="00F20D74"/>
    <w:rsid w:val="00F24AC9"/>
    <w:rsid w:val="00F401AD"/>
    <w:rsid w:val="00F4500D"/>
    <w:rsid w:val="00F472E0"/>
    <w:rsid w:val="00F47533"/>
    <w:rsid w:val="00F47E71"/>
    <w:rsid w:val="00F529B2"/>
    <w:rsid w:val="00F601F1"/>
    <w:rsid w:val="00F669FD"/>
    <w:rsid w:val="00F6772F"/>
    <w:rsid w:val="00F73FA0"/>
    <w:rsid w:val="00F75112"/>
    <w:rsid w:val="00F815AB"/>
    <w:rsid w:val="00F81E51"/>
    <w:rsid w:val="00F8423B"/>
    <w:rsid w:val="00F9323A"/>
    <w:rsid w:val="00FA266B"/>
    <w:rsid w:val="00FA36CC"/>
    <w:rsid w:val="00FB1C30"/>
    <w:rsid w:val="00FB3BC2"/>
    <w:rsid w:val="00FB4EA1"/>
    <w:rsid w:val="00FD7230"/>
    <w:rsid w:val="00FD79CC"/>
    <w:rsid w:val="00FE24B2"/>
    <w:rsid w:val="00FF3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textbox inset="5.85pt,.7pt,5.85pt,.7pt"/>
    </o:shapedefaults>
    <o:shapelayout v:ext="edit">
      <o:idmap v:ext="edit" data="1"/>
    </o:shapelayout>
  </w:shapeDefaults>
  <w:decimalSymbol w:val="."/>
  <w:listSeparator w:val=","/>
  <w14:docId w14:val="167D6042"/>
  <w15:docId w15:val="{8E5C77E5-8F5D-4CDA-8A44-3673EDE0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4D"/>
    <w:pPr>
      <w:widowControl w:val="0"/>
      <w:jc w:val="both"/>
    </w:pPr>
    <w:rPr>
      <w:kern w:val="2"/>
      <w:sz w:val="21"/>
      <w:szCs w:val="21"/>
    </w:rPr>
  </w:style>
  <w:style w:type="paragraph" w:styleId="1">
    <w:name w:val="heading 1"/>
    <w:basedOn w:val="a"/>
    <w:next w:val="a0"/>
    <w:qFormat/>
    <w:rsid w:val="00585573"/>
    <w:pPr>
      <w:numPr>
        <w:numId w:val="2"/>
      </w:numPr>
      <w:adjustRightInd w:val="0"/>
      <w:spacing w:before="120" w:after="120" w:line="400" w:lineRule="exact"/>
      <w:jc w:val="left"/>
      <w:textAlignment w:val="baseline"/>
      <w:outlineLvl w:val="0"/>
    </w:pPr>
    <w:rPr>
      <w:rFonts w:eastAsia="Times New Roman"/>
      <w:kern w:val="0"/>
      <w:sz w:val="28"/>
      <w:szCs w:val="28"/>
    </w:rPr>
  </w:style>
  <w:style w:type="paragraph" w:styleId="2">
    <w:name w:val="heading 2"/>
    <w:basedOn w:val="1"/>
    <w:next w:val="a0"/>
    <w:qFormat/>
    <w:rsid w:val="00527C54"/>
    <w:pPr>
      <w:keepNext/>
      <w:numPr>
        <w:ilvl w:val="1"/>
      </w:numPr>
      <w:spacing w:beforeLines="50" w:line="360" w:lineRule="exact"/>
      <w:ind w:left="964" w:hanging="964"/>
      <w:outlineLvl w:val="1"/>
    </w:pPr>
  </w:style>
  <w:style w:type="paragraph" w:styleId="3">
    <w:name w:val="heading 3"/>
    <w:basedOn w:val="2"/>
    <w:next w:val="12"/>
    <w:qFormat/>
    <w:rsid w:val="00527C54"/>
    <w:pPr>
      <w:numPr>
        <w:ilvl w:val="2"/>
      </w:numPr>
      <w:snapToGrid w:val="0"/>
      <w:outlineLvl w:val="2"/>
    </w:pPr>
    <w:rPr>
      <w:sz w:val="24"/>
    </w:rPr>
  </w:style>
  <w:style w:type="paragraph" w:styleId="4">
    <w:name w:val="heading 4"/>
    <w:basedOn w:val="3"/>
    <w:next w:val="21"/>
    <w:qFormat/>
    <w:rsid w:val="00F472E0"/>
    <w:pPr>
      <w:numPr>
        <w:ilvl w:val="3"/>
      </w:numPr>
      <w:spacing w:after="60" w:line="320" w:lineRule="exact"/>
      <w:ind w:rightChars="100" w:right="210"/>
      <w:outlineLvl w:val="3"/>
    </w:pPr>
    <w:rPr>
      <w:sz w:val="22"/>
    </w:rPr>
  </w:style>
  <w:style w:type="paragraph" w:styleId="5">
    <w:name w:val="heading 5"/>
    <w:basedOn w:val="4"/>
    <w:next w:val="21"/>
    <w:qFormat/>
    <w:rsid w:val="00F472E0"/>
    <w:pPr>
      <w:numPr>
        <w:ilvl w:val="4"/>
      </w:numPr>
      <w:outlineLvl w:val="4"/>
    </w:pPr>
  </w:style>
  <w:style w:type="paragraph" w:styleId="6">
    <w:name w:val="heading 6"/>
    <w:basedOn w:val="5"/>
    <w:next w:val="31"/>
    <w:link w:val="60"/>
    <w:qFormat/>
    <w:rsid w:val="00527C54"/>
    <w:pPr>
      <w:numPr>
        <w:ilvl w:val="5"/>
      </w:numPr>
      <w:ind w:rightChars="0" w:right="0"/>
      <w:outlineLvl w:val="5"/>
    </w:pPr>
  </w:style>
  <w:style w:type="paragraph" w:styleId="7">
    <w:name w:val="heading 7"/>
    <w:basedOn w:val="6"/>
    <w:next w:val="31"/>
    <w:qFormat/>
    <w:rsid w:val="00C622F8"/>
    <w:pPr>
      <w:numPr>
        <w:ilvl w:val="6"/>
      </w:numPr>
      <w:outlineLvl w:val="6"/>
    </w:pPr>
    <w:rPr>
      <w:sz w:val="21"/>
    </w:rPr>
  </w:style>
  <w:style w:type="paragraph" w:styleId="8">
    <w:name w:val="heading 8"/>
    <w:basedOn w:val="7"/>
    <w:next w:val="41"/>
    <w:qFormat/>
    <w:rsid w:val="00F472E0"/>
    <w:pPr>
      <w:numPr>
        <w:ilvl w:val="7"/>
      </w:numPr>
      <w:outlineLvl w:val="7"/>
    </w:pPr>
  </w:style>
  <w:style w:type="paragraph" w:styleId="9">
    <w:name w:val="heading 9"/>
    <w:basedOn w:val="8"/>
    <w:next w:val="50"/>
    <w:qFormat/>
    <w:rsid w:val="00C622F8"/>
    <w:pPr>
      <w:keepNext w:val="0"/>
      <w:numPr>
        <w:ilvl w:val="8"/>
      </w:numPr>
      <w:spacing w:after="120" w:line="280" w:lineRule="exact"/>
      <w:ind w:left="737" w:hanging="227"/>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F2CB8"/>
    <w:pPr>
      <w:ind w:firstLineChars="100" w:firstLine="100"/>
    </w:pPr>
  </w:style>
  <w:style w:type="paragraph" w:customStyle="1" w:styleId="12">
    <w:name w:val="本文1"/>
    <w:basedOn w:val="a"/>
    <w:rsid w:val="00BF2CB8"/>
    <w:pPr>
      <w:ind w:leftChars="50" w:left="50" w:firstLineChars="100" w:firstLine="100"/>
    </w:pPr>
  </w:style>
  <w:style w:type="paragraph" w:customStyle="1" w:styleId="21">
    <w:name w:val="本文2"/>
    <w:basedOn w:val="12"/>
    <w:rsid w:val="00ED63B1"/>
    <w:pPr>
      <w:ind w:leftChars="100" w:left="100"/>
    </w:pPr>
  </w:style>
  <w:style w:type="paragraph" w:customStyle="1" w:styleId="31">
    <w:name w:val="本文3"/>
    <w:basedOn w:val="12"/>
    <w:rsid w:val="00BF2CB8"/>
    <w:pPr>
      <w:ind w:leftChars="150" w:left="150"/>
    </w:pPr>
  </w:style>
  <w:style w:type="paragraph" w:customStyle="1" w:styleId="41">
    <w:name w:val="本文4"/>
    <w:basedOn w:val="31"/>
    <w:rsid w:val="00B93544"/>
    <w:pPr>
      <w:ind w:leftChars="200" w:left="200"/>
    </w:pPr>
  </w:style>
  <w:style w:type="paragraph" w:customStyle="1" w:styleId="a5">
    <w:name w:val="資料タイトル"/>
    <w:basedOn w:val="a"/>
    <w:next w:val="a0"/>
    <w:rsid w:val="00FB1C30"/>
    <w:pPr>
      <w:spacing w:afterLines="50" w:line="360" w:lineRule="exact"/>
      <w:jc w:val="center"/>
    </w:pPr>
    <w:rPr>
      <w:rFonts w:eastAsia="Times New Roman"/>
      <w:sz w:val="28"/>
    </w:rPr>
  </w:style>
  <w:style w:type="paragraph" w:styleId="a6">
    <w:name w:val="Document Map"/>
    <w:basedOn w:val="a"/>
    <w:semiHidden/>
    <w:rsid w:val="00A16167"/>
    <w:pPr>
      <w:shd w:val="clear" w:color="auto" w:fill="000080"/>
    </w:pPr>
    <w:rPr>
      <w:rFonts w:eastAsia="Times New Roman"/>
      <w:sz w:val="16"/>
    </w:rPr>
  </w:style>
  <w:style w:type="character" w:styleId="a7">
    <w:name w:val="footnote reference"/>
    <w:basedOn w:val="a1"/>
    <w:semiHidden/>
    <w:rsid w:val="00A16167"/>
    <w:rPr>
      <w:position w:val="6"/>
      <w:sz w:val="18"/>
    </w:rPr>
  </w:style>
  <w:style w:type="paragraph" w:styleId="a8">
    <w:name w:val="footnote text"/>
    <w:basedOn w:val="a"/>
    <w:semiHidden/>
    <w:rsid w:val="00A16167"/>
    <w:pPr>
      <w:keepNext/>
      <w:keepLines/>
      <w:adjustRightInd w:val="0"/>
      <w:snapToGrid w:val="0"/>
      <w:spacing w:line="220" w:lineRule="atLeast"/>
      <w:ind w:left="180" w:hanging="180"/>
      <w:textAlignment w:val="baseline"/>
    </w:pPr>
    <w:rPr>
      <w:rFonts w:eastAsia="Times New Roman"/>
      <w:kern w:val="0"/>
      <w:sz w:val="18"/>
    </w:rPr>
  </w:style>
  <w:style w:type="paragraph" w:styleId="a9">
    <w:name w:val="caption"/>
    <w:basedOn w:val="a"/>
    <w:next w:val="a"/>
    <w:qFormat/>
    <w:rsid w:val="007D60A3"/>
    <w:pPr>
      <w:jc w:val="center"/>
    </w:pPr>
    <w:rPr>
      <w:bCs/>
    </w:rPr>
  </w:style>
  <w:style w:type="paragraph" w:customStyle="1" w:styleId="20">
    <w:name w:val="箇条書き2"/>
    <w:basedOn w:val="11"/>
    <w:qFormat/>
    <w:rsid w:val="00401A37"/>
    <w:pPr>
      <w:numPr>
        <w:ilvl w:val="2"/>
      </w:numPr>
      <w:tabs>
        <w:tab w:val="num" w:pos="1134"/>
      </w:tabs>
      <w:ind w:left="1134" w:hanging="397"/>
    </w:pPr>
  </w:style>
  <w:style w:type="paragraph" w:customStyle="1" w:styleId="11">
    <w:name w:val="箇条書き1"/>
    <w:basedOn w:val="a"/>
    <w:rsid w:val="00E15C57"/>
    <w:pPr>
      <w:numPr>
        <w:numId w:val="4"/>
      </w:numPr>
    </w:pPr>
  </w:style>
  <w:style w:type="paragraph" w:customStyle="1" w:styleId="aa">
    <w:name w:val="日付・社名（氏名）"/>
    <w:basedOn w:val="a"/>
    <w:next w:val="a0"/>
    <w:rsid w:val="00D4713E"/>
    <w:pPr>
      <w:jc w:val="right"/>
    </w:pPr>
  </w:style>
  <w:style w:type="numbering" w:customStyle="1" w:styleId="10">
    <w:name w:val="スタイル1"/>
    <w:rsid w:val="00C15A85"/>
    <w:pPr>
      <w:numPr>
        <w:numId w:val="3"/>
      </w:numPr>
    </w:pPr>
  </w:style>
  <w:style w:type="paragraph" w:customStyle="1" w:styleId="50">
    <w:name w:val="本文5"/>
    <w:basedOn w:val="41"/>
    <w:qFormat/>
    <w:rsid w:val="00BF2CB8"/>
    <w:pPr>
      <w:ind w:leftChars="250" w:left="250"/>
    </w:pPr>
  </w:style>
  <w:style w:type="character" w:customStyle="1" w:styleId="a4">
    <w:name w:val="本文 (文字)"/>
    <w:basedOn w:val="a1"/>
    <w:link w:val="a0"/>
    <w:rsid w:val="00BF2CB8"/>
    <w:rPr>
      <w:rFonts w:ascii="Times New Roman" w:hAnsi="Times New Roman"/>
      <w:kern w:val="2"/>
      <w:sz w:val="21"/>
      <w:szCs w:val="21"/>
    </w:rPr>
  </w:style>
  <w:style w:type="paragraph" w:customStyle="1" w:styleId="0">
    <w:name w:val="箇条書き0"/>
    <w:basedOn w:val="11"/>
    <w:rsid w:val="00E15C57"/>
    <w:pPr>
      <w:numPr>
        <w:numId w:val="1"/>
      </w:numPr>
      <w:ind w:left="709" w:hanging="394"/>
    </w:pPr>
  </w:style>
  <w:style w:type="paragraph" w:customStyle="1" w:styleId="30">
    <w:name w:val="箇条書き3"/>
    <w:basedOn w:val="20"/>
    <w:qFormat/>
    <w:rsid w:val="002C433D"/>
    <w:pPr>
      <w:numPr>
        <w:ilvl w:val="3"/>
      </w:numPr>
      <w:tabs>
        <w:tab w:val="num" w:pos="1418"/>
      </w:tabs>
      <w:ind w:left="1418" w:hanging="425"/>
    </w:pPr>
  </w:style>
  <w:style w:type="paragraph" w:styleId="ab">
    <w:name w:val="TOC Heading"/>
    <w:basedOn w:val="1"/>
    <w:next w:val="a"/>
    <w:uiPriority w:val="39"/>
    <w:unhideWhenUsed/>
    <w:qFormat/>
    <w:rsid w:val="006B6E40"/>
    <w:pPr>
      <w:keepNext/>
      <w:keepLines/>
      <w:widowControl/>
      <w:numPr>
        <w:numId w:val="0"/>
      </w:numPr>
      <w:adjustRightInd/>
      <w:spacing w:before="480" w:after="0" w:line="276" w:lineRule="auto"/>
      <w:textAlignment w:val="auto"/>
      <w:outlineLvl w:val="9"/>
    </w:pPr>
    <w:rPr>
      <w:rFonts w:asciiTheme="majorHAnsi" w:eastAsiaTheme="majorEastAsia" w:hAnsiTheme="majorHAnsi" w:cstheme="majorBidi"/>
      <w:b/>
      <w:bCs/>
      <w:color w:val="365F91" w:themeColor="accent1" w:themeShade="BF"/>
    </w:rPr>
  </w:style>
  <w:style w:type="paragraph" w:styleId="13">
    <w:name w:val="toc 1"/>
    <w:basedOn w:val="a"/>
    <w:next w:val="a"/>
    <w:autoRedefine/>
    <w:uiPriority w:val="39"/>
    <w:qFormat/>
    <w:rsid w:val="00527C54"/>
  </w:style>
  <w:style w:type="paragraph" w:styleId="22">
    <w:name w:val="toc 2"/>
    <w:basedOn w:val="a"/>
    <w:next w:val="a"/>
    <w:autoRedefine/>
    <w:uiPriority w:val="39"/>
    <w:qFormat/>
    <w:rsid w:val="00527C54"/>
    <w:pPr>
      <w:ind w:leftChars="100" w:left="210"/>
    </w:pPr>
  </w:style>
  <w:style w:type="paragraph" w:styleId="32">
    <w:name w:val="toc 3"/>
    <w:basedOn w:val="a"/>
    <w:next w:val="a"/>
    <w:autoRedefine/>
    <w:uiPriority w:val="39"/>
    <w:qFormat/>
    <w:rsid w:val="00527C54"/>
    <w:pPr>
      <w:ind w:leftChars="200" w:left="420"/>
    </w:pPr>
  </w:style>
  <w:style w:type="paragraph" w:styleId="ac">
    <w:name w:val="Balloon Text"/>
    <w:basedOn w:val="a"/>
    <w:link w:val="ad"/>
    <w:rsid w:val="006B6E40"/>
    <w:rPr>
      <w:rFonts w:asciiTheme="majorHAnsi" w:eastAsiaTheme="majorEastAsia" w:hAnsiTheme="majorHAnsi" w:cstheme="majorBidi"/>
      <w:sz w:val="18"/>
      <w:szCs w:val="18"/>
    </w:rPr>
  </w:style>
  <w:style w:type="character" w:customStyle="1" w:styleId="ad">
    <w:name w:val="吹き出し (文字)"/>
    <w:basedOn w:val="a1"/>
    <w:link w:val="ac"/>
    <w:rsid w:val="006B6E40"/>
    <w:rPr>
      <w:rFonts w:asciiTheme="majorHAnsi" w:eastAsiaTheme="majorEastAsia" w:hAnsiTheme="majorHAnsi" w:cstheme="majorBidi"/>
      <w:kern w:val="2"/>
      <w:sz w:val="18"/>
      <w:szCs w:val="18"/>
    </w:rPr>
  </w:style>
  <w:style w:type="paragraph" w:styleId="42">
    <w:name w:val="toc 4"/>
    <w:basedOn w:val="a"/>
    <w:next w:val="a"/>
    <w:autoRedefine/>
    <w:uiPriority w:val="39"/>
    <w:rsid w:val="00527C54"/>
    <w:pPr>
      <w:ind w:leftChars="300" w:left="630"/>
    </w:pPr>
  </w:style>
  <w:style w:type="paragraph" w:styleId="51">
    <w:name w:val="toc 5"/>
    <w:basedOn w:val="a"/>
    <w:next w:val="a"/>
    <w:autoRedefine/>
    <w:uiPriority w:val="39"/>
    <w:rsid w:val="00527C54"/>
    <w:pPr>
      <w:ind w:leftChars="400" w:left="840"/>
    </w:pPr>
  </w:style>
  <w:style w:type="character" w:styleId="ae">
    <w:name w:val="Hyperlink"/>
    <w:basedOn w:val="a1"/>
    <w:uiPriority w:val="99"/>
    <w:unhideWhenUsed/>
    <w:rsid w:val="006B6E40"/>
    <w:rPr>
      <w:color w:val="0000FF" w:themeColor="hyperlink"/>
      <w:u w:val="single"/>
    </w:rPr>
  </w:style>
  <w:style w:type="paragraph" w:styleId="61">
    <w:name w:val="toc 6"/>
    <w:basedOn w:val="a"/>
    <w:next w:val="a"/>
    <w:autoRedefine/>
    <w:uiPriority w:val="39"/>
    <w:rsid w:val="00527C54"/>
    <w:pPr>
      <w:ind w:leftChars="500" w:left="1050"/>
    </w:pPr>
  </w:style>
  <w:style w:type="paragraph" w:styleId="70">
    <w:name w:val="toc 7"/>
    <w:basedOn w:val="a"/>
    <w:next w:val="a"/>
    <w:autoRedefine/>
    <w:uiPriority w:val="39"/>
    <w:rsid w:val="00527C54"/>
    <w:pPr>
      <w:ind w:leftChars="600" w:left="1260"/>
    </w:pPr>
  </w:style>
  <w:style w:type="paragraph" w:styleId="80">
    <w:name w:val="toc 8"/>
    <w:basedOn w:val="a"/>
    <w:next w:val="a"/>
    <w:autoRedefine/>
    <w:uiPriority w:val="39"/>
    <w:rsid w:val="00527C54"/>
    <w:pPr>
      <w:ind w:leftChars="700" w:left="1470"/>
    </w:pPr>
  </w:style>
  <w:style w:type="paragraph" w:customStyle="1" w:styleId="40">
    <w:name w:val="箇条書き4"/>
    <w:basedOn w:val="30"/>
    <w:qFormat/>
    <w:rsid w:val="00E15C57"/>
    <w:pPr>
      <w:numPr>
        <w:ilvl w:val="0"/>
        <w:numId w:val="5"/>
      </w:numPr>
    </w:pPr>
  </w:style>
  <w:style w:type="paragraph" w:styleId="af">
    <w:name w:val="header"/>
    <w:basedOn w:val="a"/>
    <w:link w:val="af0"/>
    <w:rsid w:val="00B1673F"/>
    <w:pPr>
      <w:tabs>
        <w:tab w:val="center" w:pos="4252"/>
        <w:tab w:val="right" w:pos="8504"/>
      </w:tabs>
      <w:snapToGrid w:val="0"/>
    </w:pPr>
  </w:style>
  <w:style w:type="character" w:customStyle="1" w:styleId="af0">
    <w:name w:val="ヘッダー (文字)"/>
    <w:basedOn w:val="a1"/>
    <w:link w:val="af"/>
    <w:rsid w:val="00B1673F"/>
    <w:rPr>
      <w:kern w:val="2"/>
      <w:sz w:val="21"/>
      <w:szCs w:val="21"/>
    </w:rPr>
  </w:style>
  <w:style w:type="paragraph" w:styleId="af1">
    <w:name w:val="footer"/>
    <w:basedOn w:val="a"/>
    <w:link w:val="af2"/>
    <w:uiPriority w:val="99"/>
    <w:rsid w:val="00B1673F"/>
    <w:pPr>
      <w:tabs>
        <w:tab w:val="center" w:pos="4252"/>
        <w:tab w:val="right" w:pos="8504"/>
      </w:tabs>
      <w:snapToGrid w:val="0"/>
    </w:pPr>
  </w:style>
  <w:style w:type="character" w:customStyle="1" w:styleId="af2">
    <w:name w:val="フッター (文字)"/>
    <w:basedOn w:val="a1"/>
    <w:link w:val="af1"/>
    <w:uiPriority w:val="99"/>
    <w:rsid w:val="00B1673F"/>
    <w:rPr>
      <w:kern w:val="2"/>
      <w:sz w:val="21"/>
      <w:szCs w:val="21"/>
    </w:rPr>
  </w:style>
  <w:style w:type="table" w:styleId="af3">
    <w:name w:val="Table Grid"/>
    <w:basedOn w:val="a2"/>
    <w:rsid w:val="00293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0F65C4"/>
    <w:pPr>
      <w:ind w:leftChars="400" w:left="840"/>
    </w:pPr>
  </w:style>
  <w:style w:type="character" w:styleId="af5">
    <w:name w:val="annotation reference"/>
    <w:basedOn w:val="a1"/>
    <w:semiHidden/>
    <w:unhideWhenUsed/>
    <w:rsid w:val="00F81E51"/>
    <w:rPr>
      <w:sz w:val="18"/>
      <w:szCs w:val="18"/>
    </w:rPr>
  </w:style>
  <w:style w:type="paragraph" w:styleId="af6">
    <w:name w:val="annotation text"/>
    <w:basedOn w:val="a"/>
    <w:link w:val="af7"/>
    <w:unhideWhenUsed/>
    <w:rsid w:val="00F81E51"/>
    <w:pPr>
      <w:jc w:val="left"/>
    </w:pPr>
  </w:style>
  <w:style w:type="character" w:customStyle="1" w:styleId="af7">
    <w:name w:val="コメント文字列 (文字)"/>
    <w:basedOn w:val="a1"/>
    <w:link w:val="af6"/>
    <w:rsid w:val="00F81E51"/>
    <w:rPr>
      <w:kern w:val="2"/>
      <w:sz w:val="21"/>
      <w:szCs w:val="21"/>
    </w:rPr>
  </w:style>
  <w:style w:type="paragraph" w:styleId="af8">
    <w:name w:val="annotation subject"/>
    <w:basedOn w:val="af6"/>
    <w:next w:val="af6"/>
    <w:link w:val="af9"/>
    <w:semiHidden/>
    <w:unhideWhenUsed/>
    <w:rsid w:val="00F81E51"/>
    <w:rPr>
      <w:b/>
      <w:bCs/>
    </w:rPr>
  </w:style>
  <w:style w:type="character" w:customStyle="1" w:styleId="af9">
    <w:name w:val="コメント内容 (文字)"/>
    <w:basedOn w:val="af7"/>
    <w:link w:val="af8"/>
    <w:semiHidden/>
    <w:rsid w:val="00F81E51"/>
    <w:rPr>
      <w:b/>
      <w:bCs/>
      <w:kern w:val="2"/>
      <w:sz w:val="21"/>
      <w:szCs w:val="21"/>
    </w:rPr>
  </w:style>
  <w:style w:type="paragraph" w:styleId="afa">
    <w:name w:val="Revision"/>
    <w:hidden/>
    <w:uiPriority w:val="99"/>
    <w:semiHidden/>
    <w:rsid w:val="00F47533"/>
    <w:rPr>
      <w:kern w:val="2"/>
      <w:sz w:val="21"/>
      <w:szCs w:val="21"/>
    </w:rPr>
  </w:style>
  <w:style w:type="character" w:customStyle="1" w:styleId="60">
    <w:name w:val="見出し 6 (文字)"/>
    <w:basedOn w:val="a1"/>
    <w:link w:val="6"/>
    <w:rsid w:val="005B159E"/>
    <w:rPr>
      <w:rFonts w:ascii="Times New Roman" w:eastAsia="Times New Roman" w:hAnsi="Times New Roman"/>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moto\AppData\Roaming\Microsoft\Templates\&#27161;&#28310;&#12486;&#12531;&#12503;&#12524;&#12540;&#12488;_20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ＭＳ ゴシック"/>
        <a:cs typeface="Times New Roman"/>
        <a:font script="Jpan" typeface="Times New Roman"/>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ＭＳ 明朝"/>
        <a:cs typeface="Times New Roman"/>
        <a:font script="Jpan" typeface="Times New Roman"/>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2019</Year>
    <UNF3CSPEntity xmlns="cd1c2313-39f8-4f5d-8e14-5f0ea1c36a8a">Japan</UNF3CSPEntity>
    <UNF3CSPInvitationToSubmit xmlns="cd1c2313-39f8-4f5d-8e14-5f0ea1c36a8a">1255</UNF3CSPInvitationToSubmit>
    <UNF3CSPSubmissionDate xmlns="6920f5ab-9618-4f6e-a652-41e6f8b811ff">2019-11-29T09:27:00+00:00</UNF3CSPSubmissionDate>
    <UNF3CSPEntityType xmlns="6920f5ab-9618-4f6e-a652-41e6f8b811ff">Party</UNF3CSPEntityType>
    <Issue xmlns="6920f5ab-9618-4f6e-a652-41e6f8b811ff">Methodological issues under the Paris Agreement</Issue>
    <UNF3CSPDescription xmlns="cd1c2313-39f8-4f5d-8e14-5f0ea1c36a8a" xsi:nil="true"/>
    <Date_x0020_Of_x0020_Call xmlns="6920f5ab-9618-4f6e-a652-41e6f8b811ff">2019-09-29T22:00:00+00:00</Date_x0020_Of_x0020_Call>
    <UNF3CSPLanguage xmlns="cd1c2313-39f8-4f5d-8e14-5f0ea1c36a8a">English</UNF3CSPLanguage>
    <Mandate xmlns="6920f5ab-9618-4f6e-a652-41e6f8b811ff">FCCC/SBSTA/2019/2, para.125</Mandate>
    <Session xmlns="6920f5ab-9618-4f6e-a652-41e6f8b811ff">SBSTA 51</Session>
    <SourceItemID xmlns="6920f5ab-9618-4f6e-a652-41e6f8b811ff" xsi:nil="true"/>
    <Theme xmlns="6920f5ab-9618-4f6e-a652-41e6f8b811ff" xsi:nil="true"/>
    <UNF3CSPBody xmlns="6920f5ab-9618-4f6e-a652-41e6f8b811ff">SBSTA</UNF3CSPBody>
    <UNF3CSPThematicAreas xmlns="6920f5ab-9618-4f6e-a652-41e6f8b811f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16F60-65E2-4AC7-8DE3-84E1423F135B}"/>
</file>

<file path=customXml/itemProps2.xml><?xml version="1.0" encoding="utf-8"?>
<ds:datastoreItem xmlns:ds="http://schemas.openxmlformats.org/officeDocument/2006/customXml" ds:itemID="{8D9EBE81-049F-44FC-86A2-2AFFCEECB75E}"/>
</file>

<file path=customXml/itemProps3.xml><?xml version="1.0" encoding="utf-8"?>
<ds:datastoreItem xmlns:ds="http://schemas.openxmlformats.org/officeDocument/2006/customXml" ds:itemID="{92D8086F-648D-4BA7-B4E9-1A83584101DA}"/>
</file>

<file path=customXml/itemProps4.xml><?xml version="1.0" encoding="utf-8"?>
<ds:datastoreItem xmlns:ds="http://schemas.openxmlformats.org/officeDocument/2006/customXml" ds:itemID="{07278F45-68FA-4BE1-8651-B5E06F9C3332}"/>
</file>

<file path=docProps/app.xml><?xml version="1.0" encoding="utf-8"?>
<Properties xmlns="http://schemas.openxmlformats.org/officeDocument/2006/extended-properties" xmlns:vt="http://schemas.openxmlformats.org/officeDocument/2006/docPropsVTypes">
  <Template>標準テンプレート_2015.dotx</Template>
  <TotalTime>1</TotalTime>
  <Pages>5</Pages>
  <Words>2468</Words>
  <Characters>14072</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センタリング</vt:lpstr>
      <vt:lpstr>センタリング</vt:lpstr>
    </vt:vector>
  </TitlesOfParts>
  <Company>三菱UFJリサーチ&amp;コンサルティング（株）</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センタリング</dc:title>
  <dc:creator>morimoto</dc:creator>
  <cp:lastModifiedBy>MOEJ</cp:lastModifiedBy>
  <cp:revision>2</cp:revision>
  <cp:lastPrinted>2016-05-10T07:15:00Z</cp:lastPrinted>
  <dcterms:created xsi:type="dcterms:W3CDTF">2019-11-25T05:40:00Z</dcterms:created>
  <dcterms:modified xsi:type="dcterms:W3CDTF">2019-11-25T05:40:00Z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283700</vt:r8>
  </property>
  <property fmtid="{D5CDD505-2E9C-101B-9397-08002B2CF9AE}" pid="4" name="xd_ProgID">
    <vt:lpwstr/>
  </property>
  <property fmtid="{D5CDD505-2E9C-101B-9397-08002B2CF9AE}" pid="5" name="_CopySource">
    <vt:lpwstr>https://process.unfccc.int/sites/SubmissionsStaging/Documents/201911290927---JAPAN_S SUBMISSION ON TRANSPARENCY_.DOCX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