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A3" w:rsidRPr="007E54A3" w:rsidRDefault="007E54A3" w:rsidP="007E54A3">
      <w:pPr>
        <w:keepNext/>
        <w:keepLines/>
        <w:spacing w:before="200"/>
        <w:jc w:val="center"/>
        <w:outlineLvl w:val="1"/>
        <w:rPr>
          <w:rFonts w:eastAsiaTheme="majorEastAsia" w:cstheme="majorBidi"/>
          <w:b/>
          <w:bCs/>
          <w:sz w:val="28"/>
          <w:szCs w:val="28"/>
        </w:rPr>
      </w:pPr>
      <w:bookmarkStart w:id="0" w:name="_Toc247720302"/>
      <w:r w:rsidRPr="007E54A3">
        <w:rPr>
          <w:rFonts w:eastAsiaTheme="majorEastAsia" w:cstheme="majorBidi"/>
          <w:b/>
          <w:bCs/>
          <w:sz w:val="28"/>
          <w:szCs w:val="28"/>
        </w:rPr>
        <w:t>NAMAs Proposal – NAMA Seeking Support for Preparation</w:t>
      </w:r>
    </w:p>
    <w:p w:rsidR="007E54A3" w:rsidRPr="007E54A3" w:rsidRDefault="007E54A3" w:rsidP="007E54A3">
      <w:pPr>
        <w:widowControl w:val="0"/>
        <w:autoSpaceDE w:val="0"/>
        <w:autoSpaceDN w:val="0"/>
        <w:adjustRightInd w:val="0"/>
        <w:spacing w:before="120" w:after="120" w:line="240" w:lineRule="auto"/>
        <w:rPr>
          <w:rFonts w:ascii="Calibri" w:eastAsia="MS Mincho" w:hAnsi="Calibri" w:cs="Times"/>
          <w:b/>
          <w:lang w:val="en-US" w:eastAsia="en-US"/>
        </w:rPr>
      </w:pPr>
      <w:r w:rsidRPr="007E54A3">
        <w:rPr>
          <w:rFonts w:ascii="Calibri" w:eastAsia="MS Mincho" w:hAnsi="Calibri" w:cs="Times"/>
          <w:b/>
          <w:lang w:val="en-US" w:eastAsia="en-US"/>
        </w:rPr>
        <w:t>1.</w:t>
      </w:r>
      <w:r>
        <w:rPr>
          <w:rFonts w:ascii="Calibri" w:eastAsia="MS Mincho" w:hAnsi="Calibri" w:cs="Times"/>
          <w:b/>
          <w:lang w:val="en-US" w:eastAsia="en-US"/>
        </w:rPr>
        <w:t>0.</w:t>
      </w:r>
      <w:r w:rsidRPr="007E54A3">
        <w:rPr>
          <w:rFonts w:ascii="Calibri" w:eastAsia="MS Mincho" w:hAnsi="Calibri" w:cs="Times"/>
          <w:b/>
          <w:lang w:val="en-US" w:eastAsia="en-US"/>
        </w:rPr>
        <w:t xml:space="preserve"> </w:t>
      </w:r>
      <w:r w:rsidRPr="007E54A3">
        <w:rPr>
          <w:rFonts w:ascii="Calibri" w:eastAsia="MS Mincho" w:hAnsi="Calibri" w:cs="Times"/>
          <w:b/>
          <w:lang w:val="en-US" w:eastAsia="en-US"/>
        </w:rPr>
        <w:tab/>
        <w:t>Title of Mitigation Action</w:t>
      </w:r>
    </w:p>
    <w:p w:rsidR="00A67620" w:rsidRPr="007E54A3" w:rsidRDefault="00A67620" w:rsidP="007E54A3">
      <w:pPr>
        <w:spacing w:line="276" w:lineRule="auto"/>
      </w:pPr>
      <w:r w:rsidRPr="007E54A3">
        <w:t>Bus Rapid Transit (BRT) for Kampala</w:t>
      </w:r>
      <w:bookmarkEnd w:id="0"/>
    </w:p>
    <w:p w:rsidR="00A67620" w:rsidRPr="007E54A3" w:rsidRDefault="007E54A3" w:rsidP="007E54A3">
      <w:pPr>
        <w:spacing w:before="120" w:after="120" w:line="276" w:lineRule="auto"/>
        <w:rPr>
          <w:rFonts w:cs="Arial"/>
        </w:rPr>
      </w:pPr>
      <w:r>
        <w:rPr>
          <w:rFonts w:cs="Arial"/>
        </w:rPr>
        <w:t>Sector – T</w:t>
      </w:r>
      <w:r w:rsidR="00A67620" w:rsidRPr="007E54A3">
        <w:rPr>
          <w:rFonts w:cs="Arial"/>
        </w:rPr>
        <w:t>ransport</w:t>
      </w:r>
    </w:p>
    <w:p w:rsidR="00A67620" w:rsidRPr="007E54A3" w:rsidRDefault="007E54A3" w:rsidP="00A67620">
      <w:pPr>
        <w:spacing w:before="120" w:after="120" w:line="276" w:lineRule="auto"/>
        <w:rPr>
          <w:rFonts w:cs="Arial"/>
        </w:rPr>
      </w:pPr>
      <w:r>
        <w:rPr>
          <w:rFonts w:cs="Arial"/>
        </w:rPr>
        <w:t xml:space="preserve">Purpose of NAMA – </w:t>
      </w:r>
      <w:r w:rsidR="00A67620" w:rsidRPr="007E54A3">
        <w:rPr>
          <w:rFonts w:cs="Arial"/>
        </w:rPr>
        <w:t>The purpose of this NAMA is to</w:t>
      </w:r>
      <w:r w:rsidR="00A67620" w:rsidRPr="007E54A3">
        <w:rPr>
          <w:rFonts w:cs="Arial"/>
          <w:b/>
        </w:rPr>
        <w:t xml:space="preserve"> </w:t>
      </w:r>
      <w:r w:rsidR="00A67620" w:rsidRPr="007E54A3">
        <w:rPr>
          <w:rFonts w:cs="Arial"/>
        </w:rPr>
        <w:t xml:space="preserve">improve the efficiency of public transport, by moving commuters from private vehicles to public transportation to address both traffic and pollution problems. The NAMA will reduce transport emissions in the Kampala metropolitan region from a business as usual baseline. </w:t>
      </w:r>
    </w:p>
    <w:p w:rsidR="007E54A3" w:rsidRPr="00510FD0" w:rsidRDefault="007E54A3" w:rsidP="007E54A3">
      <w:pPr>
        <w:spacing w:line="276" w:lineRule="auto"/>
      </w:pPr>
      <w:r>
        <w:t xml:space="preserve">Type of NAMA – </w:t>
      </w:r>
      <w:r w:rsidRPr="00510FD0">
        <w:t>This is Project NAMA that will evolve into a programme NAMA at the national level.  The financing will be a mix of domestic and international support.</w:t>
      </w:r>
    </w:p>
    <w:p w:rsidR="007E54A3" w:rsidRDefault="007E54A3" w:rsidP="00A67620">
      <w:pPr>
        <w:spacing w:line="276" w:lineRule="auto"/>
        <w:rPr>
          <w:rFonts w:cs="Arial"/>
          <w:b/>
          <w:sz w:val="22"/>
          <w:szCs w:val="22"/>
        </w:rPr>
      </w:pPr>
    </w:p>
    <w:p w:rsidR="00FF68BD" w:rsidRDefault="00B86613" w:rsidP="00A67620">
      <w:pPr>
        <w:spacing w:before="120" w:after="120" w:line="276" w:lineRule="auto"/>
        <w:rPr>
          <w:rFonts w:cs="Arial"/>
          <w:b/>
        </w:rPr>
      </w:pPr>
      <w:r>
        <w:rPr>
          <w:rFonts w:cs="Arial"/>
          <w:b/>
        </w:rPr>
        <w:t>2.0.</w:t>
      </w:r>
      <w:r>
        <w:rPr>
          <w:rFonts w:cs="Arial"/>
          <w:b/>
        </w:rPr>
        <w:tab/>
        <w:t xml:space="preserve"> </w:t>
      </w:r>
      <w:r w:rsidR="00FF68BD">
        <w:rPr>
          <w:rFonts w:cs="Arial"/>
          <w:b/>
        </w:rPr>
        <w:t xml:space="preserve"> Description of NAMA</w:t>
      </w:r>
    </w:p>
    <w:p w:rsidR="00ED2E6F" w:rsidRPr="00FF68BD" w:rsidRDefault="00ED2E6F" w:rsidP="00ED2E6F">
      <w:pPr>
        <w:spacing w:after="120" w:line="276" w:lineRule="auto"/>
        <w:rPr>
          <w:rFonts w:cs="Arial"/>
          <w:b/>
        </w:rPr>
      </w:pPr>
      <w:r w:rsidRPr="00FF68BD">
        <w:rPr>
          <w:rFonts w:cs="Arial"/>
          <w:b/>
        </w:rPr>
        <w:t xml:space="preserve">Rationale for NAMA  </w:t>
      </w:r>
    </w:p>
    <w:p w:rsidR="00ED2E6F" w:rsidRPr="00FF68BD" w:rsidRDefault="00ED2E6F" w:rsidP="00ED2E6F">
      <w:pPr>
        <w:spacing w:before="120" w:after="120" w:line="276" w:lineRule="auto"/>
        <w:rPr>
          <w:rFonts w:cs="Arial"/>
        </w:rPr>
      </w:pPr>
      <w:r w:rsidRPr="00FF68BD">
        <w:rPr>
          <w:rFonts w:cs="Arial"/>
        </w:rPr>
        <w:t xml:space="preserve">Kampala is expected to experience rapid population growth over the next 15 years, which will be accompanied by high levels of urbanization and motorization. Kampala lacks an integrated and affordable public transport system, with most public transport trips taken by 14-seat minibuses (matatus). This NAMA will assist Uganda in planning, developing and financing a coordinated urban transportation system around design of routes, linkage between the BRT routes and other modes of transport, facilities and resources to increase ridership, operational mechanisms of efficiency such as scheduling, on time repairs, maintenance, buses, pricing, park and ride facilities. </w:t>
      </w:r>
    </w:p>
    <w:p w:rsidR="00A67620" w:rsidRDefault="00A67620" w:rsidP="00A67620">
      <w:pPr>
        <w:spacing w:before="120" w:after="120" w:line="276" w:lineRule="auto"/>
        <w:rPr>
          <w:rFonts w:cs="Arial"/>
        </w:rPr>
      </w:pPr>
      <w:r w:rsidRPr="00FF68BD">
        <w:rPr>
          <w:rFonts w:cs="Arial"/>
        </w:rPr>
        <w:t>The activities of the NAMA include building 9 routes of the BRT, non-motorised transport (NMT) routes linked to the bus routes, park and ride facilities, programming and scheduling buses along the routes, and ensuring systems for operational efficiency.</w:t>
      </w:r>
    </w:p>
    <w:p w:rsidR="00893E84" w:rsidRDefault="00C75E24" w:rsidP="00C75E24">
      <w:pPr>
        <w:spacing w:before="120" w:after="120" w:line="276" w:lineRule="auto"/>
        <w:rPr>
          <w:rFonts w:cs="Arial"/>
        </w:rPr>
      </w:pPr>
      <w:r w:rsidRPr="00C75E24">
        <w:rPr>
          <w:rFonts w:cs="Arial"/>
          <w:b/>
        </w:rPr>
        <w:t>3.0 National Implementing Agency</w:t>
      </w:r>
      <w:r w:rsidRPr="00FF68BD">
        <w:rPr>
          <w:rFonts w:cs="Arial"/>
          <w:b/>
        </w:rPr>
        <w:t>:</w:t>
      </w:r>
      <w:r w:rsidRPr="00FF68BD">
        <w:rPr>
          <w:rFonts w:cs="Arial"/>
        </w:rPr>
        <w:t xml:space="preserve">  </w:t>
      </w:r>
    </w:p>
    <w:p w:rsidR="00C75E24" w:rsidRPr="00FF68BD" w:rsidRDefault="00893E84" w:rsidP="00C75E24">
      <w:pPr>
        <w:spacing w:before="120" w:after="120" w:line="276" w:lineRule="auto"/>
        <w:rPr>
          <w:rFonts w:cs="Arial"/>
        </w:rPr>
      </w:pPr>
      <w:r>
        <w:rPr>
          <w:rFonts w:cs="Arial"/>
        </w:rPr>
        <w:t xml:space="preserve"> </w:t>
      </w:r>
      <w:r w:rsidR="00C75E24" w:rsidRPr="00FF68BD">
        <w:rPr>
          <w:rFonts w:cs="Arial"/>
        </w:rPr>
        <w:t>Kampala Capital City Authority in conjunction with Ministry of Works and Transport</w:t>
      </w:r>
      <w:r>
        <w:rPr>
          <w:rFonts w:cs="Arial"/>
        </w:rPr>
        <w:t xml:space="preserve"> and the Uganda national Roads Authority will be the implementing agency</w:t>
      </w:r>
    </w:p>
    <w:p w:rsidR="00C75E24" w:rsidRDefault="00893E84" w:rsidP="00A67620">
      <w:pPr>
        <w:spacing w:before="120" w:after="120" w:line="276" w:lineRule="auto"/>
        <w:rPr>
          <w:rFonts w:cs="Arial"/>
          <w:b/>
        </w:rPr>
      </w:pPr>
      <w:r>
        <w:rPr>
          <w:rFonts w:cs="Arial"/>
          <w:b/>
        </w:rPr>
        <w:t>4.0 Expected time frame for the Preparation of the Mitigation Action</w:t>
      </w:r>
    </w:p>
    <w:p w:rsidR="00FF025B" w:rsidRDefault="00FF025B" w:rsidP="00A67620">
      <w:pPr>
        <w:spacing w:before="120" w:after="120" w:line="276" w:lineRule="auto"/>
        <w:rPr>
          <w:rFonts w:cs="Arial"/>
        </w:rPr>
      </w:pPr>
      <w:r w:rsidRPr="00FF025B">
        <w:rPr>
          <w:rFonts w:cs="Arial"/>
        </w:rPr>
        <w:t>12 months</w:t>
      </w:r>
    </w:p>
    <w:p w:rsidR="003A1197" w:rsidRPr="003A1197" w:rsidRDefault="003A1197" w:rsidP="00A67620">
      <w:pPr>
        <w:spacing w:before="120" w:after="120" w:line="276" w:lineRule="auto"/>
        <w:rPr>
          <w:rFonts w:cs="Arial"/>
          <w:b/>
        </w:rPr>
      </w:pPr>
      <w:r w:rsidRPr="003A1197">
        <w:rPr>
          <w:rFonts w:cs="Arial"/>
          <w:b/>
        </w:rPr>
        <w:t>5 Support Required to Prepare the Mitigation Action</w:t>
      </w:r>
    </w:p>
    <w:p w:rsidR="003A1197" w:rsidRPr="003A1197" w:rsidRDefault="003A1197" w:rsidP="00A67620">
      <w:pPr>
        <w:spacing w:before="120" w:after="120" w:line="276" w:lineRule="auto"/>
        <w:rPr>
          <w:rFonts w:cs="Arial"/>
          <w:b/>
        </w:rPr>
      </w:pPr>
      <w:r w:rsidRPr="003A1197">
        <w:rPr>
          <w:rFonts w:cs="Arial"/>
          <w:b/>
        </w:rPr>
        <w:t>5.1 Financial Support</w:t>
      </w:r>
    </w:p>
    <w:p w:rsidR="003A1197" w:rsidRDefault="003A1197" w:rsidP="00A67620">
      <w:pPr>
        <w:spacing w:before="120" w:after="120" w:line="276" w:lineRule="auto"/>
        <w:rPr>
          <w:rFonts w:cs="Arial"/>
        </w:rPr>
      </w:pPr>
      <w:r>
        <w:rPr>
          <w:rFonts w:cs="Arial"/>
        </w:rPr>
        <w:t>Grant Funds required:</w:t>
      </w:r>
      <w:r w:rsidR="00B31E9B">
        <w:rPr>
          <w:rFonts w:cs="Arial"/>
        </w:rPr>
        <w:t xml:space="preserve"> US$ 250,000</w:t>
      </w:r>
    </w:p>
    <w:p w:rsidR="003A1197" w:rsidRDefault="003A1197" w:rsidP="00A67620">
      <w:pPr>
        <w:spacing w:before="120" w:after="120" w:line="276" w:lineRule="auto"/>
        <w:rPr>
          <w:rFonts w:cs="Arial"/>
          <w:b/>
        </w:rPr>
      </w:pPr>
      <w:r w:rsidRPr="003A1197">
        <w:rPr>
          <w:rFonts w:cs="Arial"/>
          <w:b/>
        </w:rPr>
        <w:t>5.2 Capacity Building Support</w:t>
      </w:r>
    </w:p>
    <w:p w:rsidR="00B31E9B" w:rsidRPr="00B31E9B" w:rsidRDefault="00B31E9B" w:rsidP="00A67620">
      <w:pPr>
        <w:spacing w:before="120" w:after="120" w:line="276" w:lineRule="auto"/>
        <w:rPr>
          <w:rFonts w:cs="Arial"/>
        </w:rPr>
      </w:pPr>
      <w:r w:rsidRPr="00B31E9B">
        <w:rPr>
          <w:rFonts w:cs="Arial"/>
        </w:rPr>
        <w:t>This will be US$ 30,000 and is included in the grant funds</w:t>
      </w:r>
    </w:p>
    <w:p w:rsidR="00B232D7" w:rsidRPr="003A1197" w:rsidRDefault="00B232D7" w:rsidP="00A67620">
      <w:pPr>
        <w:spacing w:before="120" w:after="120" w:line="276" w:lineRule="auto"/>
        <w:rPr>
          <w:rFonts w:cs="Arial"/>
          <w:b/>
        </w:rPr>
      </w:pPr>
    </w:p>
    <w:p w:rsidR="003A1197" w:rsidRDefault="003A1197" w:rsidP="00A67620">
      <w:pPr>
        <w:spacing w:before="120" w:after="120" w:line="276" w:lineRule="auto"/>
        <w:rPr>
          <w:rFonts w:cs="Arial"/>
          <w:b/>
        </w:rPr>
      </w:pPr>
    </w:p>
    <w:p w:rsidR="003A1197" w:rsidRDefault="003A1197" w:rsidP="00A67620">
      <w:pPr>
        <w:spacing w:before="120" w:after="120" w:line="276" w:lineRule="auto"/>
        <w:rPr>
          <w:rFonts w:cs="Arial"/>
          <w:b/>
        </w:rPr>
      </w:pPr>
      <w:r>
        <w:rPr>
          <w:rFonts w:cs="Arial"/>
          <w:b/>
        </w:rPr>
        <w:t>5.3 Costs of Implementation</w:t>
      </w:r>
    </w:p>
    <w:p w:rsidR="00406FD6" w:rsidRPr="00932BC7" w:rsidRDefault="00406FD6" w:rsidP="00406FD6">
      <w:pPr>
        <w:widowControl w:val="0"/>
        <w:autoSpaceDE w:val="0"/>
        <w:autoSpaceDN w:val="0"/>
        <w:adjustRightInd w:val="0"/>
        <w:spacing w:line="276" w:lineRule="auto"/>
        <w:rPr>
          <w:rFonts w:eastAsiaTheme="minorEastAsia" w:cs="Arial"/>
          <w:lang w:val="en-US" w:eastAsia="en-US"/>
        </w:rPr>
      </w:pPr>
      <w:r w:rsidRPr="00932BC7">
        <w:rPr>
          <w:rFonts w:eastAsiaTheme="minorEastAsia" w:cs="Arial"/>
          <w:lang w:val="en-US" w:eastAsia="en-US"/>
        </w:rPr>
        <w:t>The capital costs budgeted over the 15 year period were estimated to total some US$ 1.181</w:t>
      </w:r>
    </w:p>
    <w:p w:rsidR="00406FD6" w:rsidRPr="00932BC7" w:rsidRDefault="00406FD6" w:rsidP="00406FD6">
      <w:pPr>
        <w:widowControl w:val="0"/>
        <w:autoSpaceDE w:val="0"/>
        <w:autoSpaceDN w:val="0"/>
        <w:adjustRightInd w:val="0"/>
        <w:spacing w:line="276" w:lineRule="auto"/>
        <w:rPr>
          <w:rFonts w:eastAsiaTheme="minorEastAsia" w:cs="Arial"/>
          <w:lang w:val="en-US" w:eastAsia="en-US"/>
        </w:rPr>
      </w:pPr>
      <w:r w:rsidRPr="00932BC7">
        <w:rPr>
          <w:rFonts w:eastAsiaTheme="minorEastAsia" w:cs="Arial"/>
          <w:lang w:val="en-US" w:eastAsia="en-US"/>
        </w:rPr>
        <w:t>Billion, comprising the following allocations:</w:t>
      </w:r>
    </w:p>
    <w:p w:rsidR="00406FD6" w:rsidRPr="00932BC7" w:rsidRDefault="00406FD6" w:rsidP="00300EF9">
      <w:pPr>
        <w:pStyle w:val="ListParagraph"/>
        <w:numPr>
          <w:ilvl w:val="0"/>
          <w:numId w:val="14"/>
        </w:numPr>
        <w:rPr>
          <w:rFonts w:eastAsiaTheme="minorEastAsia"/>
          <w:sz w:val="24"/>
          <w:szCs w:val="24"/>
          <w:lang w:val="en-US"/>
        </w:rPr>
      </w:pPr>
      <w:r w:rsidRPr="00932BC7">
        <w:rPr>
          <w:rFonts w:eastAsiaTheme="minorEastAsia"/>
          <w:sz w:val="24"/>
          <w:szCs w:val="24"/>
          <w:lang w:val="en-US"/>
        </w:rPr>
        <w:t>US$ 625 million for road improvements;</w:t>
      </w:r>
    </w:p>
    <w:p w:rsidR="00406FD6" w:rsidRPr="00932BC7" w:rsidRDefault="00406FD6" w:rsidP="00300EF9">
      <w:pPr>
        <w:pStyle w:val="ListParagraph"/>
        <w:numPr>
          <w:ilvl w:val="0"/>
          <w:numId w:val="14"/>
        </w:numPr>
        <w:rPr>
          <w:rFonts w:eastAsiaTheme="minorEastAsia"/>
          <w:sz w:val="24"/>
          <w:szCs w:val="24"/>
          <w:lang w:val="en-US"/>
        </w:rPr>
      </w:pPr>
      <w:r w:rsidRPr="00932BC7">
        <w:rPr>
          <w:rFonts w:eastAsiaTheme="minorEastAsia"/>
          <w:sz w:val="24"/>
          <w:szCs w:val="24"/>
          <w:lang w:val="en-US"/>
        </w:rPr>
        <w:t>US$ 125 million for traffic management and safety improvements; and</w:t>
      </w:r>
    </w:p>
    <w:p w:rsidR="00406FD6" w:rsidRPr="00932BC7" w:rsidRDefault="00406FD6" w:rsidP="00300EF9">
      <w:pPr>
        <w:pStyle w:val="ListParagraph"/>
        <w:numPr>
          <w:ilvl w:val="0"/>
          <w:numId w:val="14"/>
        </w:numPr>
        <w:rPr>
          <w:rFonts w:eastAsiaTheme="minorEastAsia"/>
          <w:sz w:val="24"/>
          <w:szCs w:val="24"/>
          <w:lang w:val="en-US"/>
        </w:rPr>
      </w:pPr>
      <w:r w:rsidRPr="00932BC7">
        <w:rPr>
          <w:rFonts w:eastAsiaTheme="minorEastAsia"/>
          <w:sz w:val="24"/>
          <w:szCs w:val="24"/>
          <w:lang w:val="en-US"/>
        </w:rPr>
        <w:t>US$ 431 million for new bus ways and equipment (4 bus ways).</w:t>
      </w:r>
    </w:p>
    <w:p w:rsidR="00406FD6" w:rsidRPr="00932BC7" w:rsidRDefault="00406FD6" w:rsidP="00406FD6">
      <w:pPr>
        <w:spacing w:before="120" w:line="276" w:lineRule="auto"/>
        <w:rPr>
          <w:rFonts w:eastAsiaTheme="minorEastAsia" w:cs="Arial"/>
          <w:lang w:val="en-US"/>
        </w:rPr>
      </w:pPr>
      <w:r w:rsidRPr="00932BC7">
        <w:rPr>
          <w:rFonts w:eastAsiaTheme="minorEastAsia" w:cs="Arial"/>
          <w:lang w:val="en-US"/>
        </w:rPr>
        <w:t>The planning and design work set out in this NAMA is expected to cost US$5 million.</w:t>
      </w:r>
    </w:p>
    <w:p w:rsidR="00B36A84" w:rsidRDefault="00B36A84" w:rsidP="00A67620">
      <w:pPr>
        <w:spacing w:before="120" w:after="120" w:line="276" w:lineRule="auto"/>
        <w:rPr>
          <w:rFonts w:cs="Arial"/>
          <w:b/>
        </w:rPr>
      </w:pPr>
    </w:p>
    <w:p w:rsidR="00A52E4D" w:rsidRPr="00FF68BD" w:rsidRDefault="003A1197" w:rsidP="00A52E4D">
      <w:pPr>
        <w:spacing w:before="120" w:after="120" w:line="276" w:lineRule="auto"/>
        <w:rPr>
          <w:rFonts w:cs="Arial"/>
          <w:b/>
        </w:rPr>
      </w:pPr>
      <w:r>
        <w:rPr>
          <w:rFonts w:cs="Arial"/>
          <w:b/>
        </w:rPr>
        <w:t>6.0 Outcome</w:t>
      </w:r>
      <w:r w:rsidR="00B36A84">
        <w:rPr>
          <w:rFonts w:cs="Arial"/>
          <w:b/>
        </w:rPr>
        <w:t>s</w:t>
      </w:r>
      <w:r>
        <w:rPr>
          <w:rFonts w:cs="Arial"/>
          <w:b/>
        </w:rPr>
        <w:t xml:space="preserve"> of NAMA</w:t>
      </w:r>
    </w:p>
    <w:p w:rsidR="00A52E4D" w:rsidRPr="00FF68BD" w:rsidRDefault="00A52E4D" w:rsidP="00A52E4D">
      <w:pPr>
        <w:spacing w:before="120" w:after="120" w:line="276" w:lineRule="auto"/>
        <w:rPr>
          <w:rFonts w:cs="Arial"/>
        </w:rPr>
      </w:pPr>
      <w:r w:rsidRPr="00FF68BD">
        <w:rPr>
          <w:rFonts w:cs="Arial"/>
          <w:b/>
        </w:rPr>
        <w:t>Sector details</w:t>
      </w:r>
    </w:p>
    <w:p w:rsidR="00A52E4D" w:rsidRPr="00FF68BD" w:rsidRDefault="00A52E4D" w:rsidP="00A52E4D">
      <w:pPr>
        <w:widowControl w:val="0"/>
        <w:autoSpaceDE w:val="0"/>
        <w:autoSpaceDN w:val="0"/>
        <w:adjustRightInd w:val="0"/>
        <w:spacing w:before="14" w:line="276" w:lineRule="auto"/>
        <w:rPr>
          <w:rFonts w:cs="Arial"/>
        </w:rPr>
      </w:pPr>
      <w:r w:rsidRPr="00FF68BD">
        <w:rPr>
          <w:rFonts w:cs="Arial"/>
        </w:rPr>
        <w:t xml:space="preserve">The National Transportation Policy and the National Development Plan recognize the important role of the transport sector in the social and economic development of Uganda. The Government of Uganda takes transport as one of the main priority areas envisioned as the engine for socio-economic development. In reference to the eight National Development Plan (NDP) goals, the Government is committed to the implementation of the transport policy with active private sector participation. This implies that private sector will play a major role in providing public transport through a competitive system. </w:t>
      </w:r>
    </w:p>
    <w:p w:rsidR="00A52E4D" w:rsidRPr="00FF68BD" w:rsidRDefault="00A52E4D" w:rsidP="00A52E4D">
      <w:pPr>
        <w:widowControl w:val="0"/>
        <w:autoSpaceDE w:val="0"/>
        <w:autoSpaceDN w:val="0"/>
        <w:adjustRightInd w:val="0"/>
        <w:spacing w:before="120" w:line="276" w:lineRule="auto"/>
        <w:rPr>
          <w:rFonts w:cs="Arial"/>
        </w:rPr>
      </w:pPr>
      <w:r w:rsidRPr="00FF68BD">
        <w:rPr>
          <w:rFonts w:cs="Arial"/>
        </w:rPr>
        <w:t xml:space="preserve">A key policy strategy is the preservation of existing infrastructure assets through road maintenance. The other key strategic action is the decentralisation of support to local administrations to enable the local governments to assume full responsibility for transport in the districts and municipalities. This NAMA would be important in invoking this strategic action. In this line, Kampala Capital City Authority is collaborating with The World Bank and Uganda National Roads Authority (UNRA) to conduct a feasibility study for a Bus Rapid Transit system (BRT). The BRT is envisaged to increase ridership and improve transport access for different social groups within the city region. This BRT system is planned to integrate transport modes. The emphasis is on high-capacity buses running on 9 key routes (or lines) that are ‘fed by’ and ‘deliver to’ appropriate NMT infrastructure and other transport modes as well as facilities. The aim is to increase coverage and access to public transport using mixed modes of buses, walking or bicycling, and to also use walking or bicycling. The BRT will also be fed in by complementary transport comprised of mainly the minibuses or taxis. There is recognition of environmental and de-congestion objectives of the BRT which implies planning of the pedestrian and bicycling facilities along and or in connection to BRT lines. In BRT, Universal Design principles are the norm for the buses, the bus stops (stations) and the surrounding pedestrian infrastructure. The associated facilities can include bicycle parking as well as car parks for park and ride system to encourage more people use mass transport services. </w:t>
      </w:r>
    </w:p>
    <w:p w:rsidR="00A52E4D" w:rsidRPr="00FF68BD" w:rsidRDefault="00A52E4D" w:rsidP="00300EF9">
      <w:pPr>
        <w:spacing w:before="240" w:line="360" w:lineRule="auto"/>
        <w:rPr>
          <w:rFonts w:cs="Arial"/>
        </w:rPr>
      </w:pPr>
      <w:r w:rsidRPr="00FF68BD">
        <w:rPr>
          <w:rFonts w:cs="Arial"/>
        </w:rPr>
        <w:lastRenderedPageBreak/>
        <w:t>Key findings from the World Bank Feasibility Study of the Bus Rapid Transit</w:t>
      </w:r>
      <w:r w:rsidRPr="00FF68BD">
        <w:rPr>
          <w:rStyle w:val="FootnoteReference"/>
          <w:rFonts w:cs="Arial"/>
        </w:rPr>
        <w:footnoteReference w:id="1"/>
      </w:r>
      <w:r w:rsidRPr="00FF68BD">
        <w:rPr>
          <w:rFonts w:cs="Arial"/>
        </w:rPr>
        <w:t>:</w:t>
      </w:r>
    </w:p>
    <w:p w:rsidR="00A52E4D" w:rsidRPr="007A255D" w:rsidRDefault="00A52E4D" w:rsidP="00300EF9">
      <w:pPr>
        <w:spacing w:line="276" w:lineRule="auto"/>
      </w:pPr>
      <w:r w:rsidRPr="00964269">
        <w:t xml:space="preserve">Based on preliminary assumptions about the future BRT system, the International Council on Clean Transportation’s modelling of city wide pollutant emissions, fuel consumption, health impacts, and time saved suggest that a BRT system in Kampala will result in considerable overall benefits approaching $10 </w:t>
      </w:r>
      <w:r w:rsidRPr="00B31E9B">
        <w:t>million per year in 2035.</w:t>
      </w:r>
    </w:p>
    <w:p w:rsidR="00A52E4D" w:rsidRPr="007A255D" w:rsidRDefault="00A52E4D" w:rsidP="00300EF9">
      <w:pPr>
        <w:spacing w:line="276" w:lineRule="auto"/>
      </w:pPr>
      <w:r w:rsidRPr="00964269">
        <w:t>Bus technology feasibility study identified multiple potential technologies for consideration in Kampala’s BRT system: diesel and diesel hybrid buses for Phase I (2013-2020); clean diesel, hybrid diesel-electric, and electric trol</w:t>
      </w:r>
      <w:r w:rsidRPr="00B31E9B">
        <w:t>ley buses for phase II (2020-2030)</w:t>
      </w:r>
    </w:p>
    <w:p w:rsidR="00A52E4D" w:rsidRPr="007A255D" w:rsidRDefault="00A52E4D" w:rsidP="00300EF9">
      <w:pPr>
        <w:spacing w:line="276" w:lineRule="auto"/>
      </w:pPr>
      <w:r w:rsidRPr="00964269">
        <w:t>Among the BRT technologies, analysis revealed that selection of any of the technology choices, including cleanest diesel conventional and hybrid electric buses and trolley electric buses will result in significant additio</w:t>
      </w:r>
      <w:r w:rsidRPr="00B31E9B">
        <w:t>nal fuel consumption savings and emissions reduction at modest additional cost over a Euro III diesel baseline bus</w:t>
      </w:r>
    </w:p>
    <w:p w:rsidR="00A52E4D" w:rsidRDefault="00A52E4D" w:rsidP="00300EF9">
      <w:pPr>
        <w:spacing w:line="276" w:lineRule="auto"/>
      </w:pPr>
      <w:r w:rsidRPr="00964269">
        <w:t>Specific choice of advanced technology should be based on more refined inputs for planned and future BRT system (i.e. targeted capacity) in K</w:t>
      </w:r>
      <w:r w:rsidRPr="00B31E9B">
        <w:t>ampala as well as future fuel availability (i.e. electricity for transportation)</w:t>
      </w:r>
      <w:r w:rsidR="00B36A84">
        <w:t>.</w:t>
      </w:r>
    </w:p>
    <w:p w:rsidR="00B36A84" w:rsidRPr="00FF68BD" w:rsidRDefault="00B36A84" w:rsidP="00B36A84">
      <w:pPr>
        <w:spacing w:before="120" w:after="120" w:line="276" w:lineRule="auto"/>
        <w:rPr>
          <w:rFonts w:cs="Arial"/>
        </w:rPr>
      </w:pPr>
      <w:r w:rsidRPr="00FF68BD">
        <w:rPr>
          <w:rFonts w:cs="Arial"/>
          <w:b/>
        </w:rPr>
        <w:t>Geographic coverage</w:t>
      </w:r>
      <w:r>
        <w:rPr>
          <w:rFonts w:cs="Arial"/>
          <w:b/>
        </w:rPr>
        <w:t xml:space="preserve"> - </w:t>
      </w:r>
      <w:r w:rsidRPr="00FF68BD">
        <w:rPr>
          <w:rFonts w:cs="Arial"/>
        </w:rPr>
        <w:t>Kampala city region covering approximately 836 sq km</w:t>
      </w:r>
    </w:p>
    <w:p w:rsidR="00B36A84" w:rsidRPr="00FF68BD" w:rsidRDefault="00B36A84" w:rsidP="00B36A84">
      <w:pPr>
        <w:spacing w:line="276" w:lineRule="auto"/>
        <w:rPr>
          <w:rFonts w:cs="Arial"/>
          <w:b/>
        </w:rPr>
      </w:pPr>
    </w:p>
    <w:p w:rsidR="00B36A84" w:rsidRPr="00FF68BD" w:rsidRDefault="00B36A84" w:rsidP="00B36A84">
      <w:pPr>
        <w:spacing w:after="120" w:line="276" w:lineRule="auto"/>
        <w:rPr>
          <w:rFonts w:cs="Arial"/>
        </w:rPr>
      </w:pPr>
      <w:r w:rsidRPr="00FF68BD">
        <w:rPr>
          <w:rFonts w:cs="Arial"/>
          <w:b/>
        </w:rPr>
        <w:t>Beneficiaries</w:t>
      </w:r>
      <w:r w:rsidRPr="00FF68BD">
        <w:rPr>
          <w:rFonts w:cs="Arial"/>
        </w:rPr>
        <w:t xml:space="preserve"> </w:t>
      </w:r>
    </w:p>
    <w:p w:rsidR="00B36A84" w:rsidRPr="00FF68BD" w:rsidRDefault="00B36A84" w:rsidP="00B36A84">
      <w:pPr>
        <w:pStyle w:val="ListParagraph"/>
        <w:numPr>
          <w:ilvl w:val="0"/>
          <w:numId w:val="11"/>
        </w:numPr>
        <w:rPr>
          <w:sz w:val="24"/>
          <w:szCs w:val="24"/>
        </w:rPr>
      </w:pPr>
      <w:r w:rsidRPr="00FF68BD">
        <w:rPr>
          <w:sz w:val="24"/>
          <w:szCs w:val="24"/>
        </w:rPr>
        <w:t>Urban dwellers</w:t>
      </w:r>
    </w:p>
    <w:p w:rsidR="00B36A84" w:rsidRPr="00FF68BD" w:rsidRDefault="00B36A84" w:rsidP="00B36A84">
      <w:pPr>
        <w:pStyle w:val="ListParagraph"/>
        <w:numPr>
          <w:ilvl w:val="0"/>
          <w:numId w:val="11"/>
        </w:numPr>
        <w:rPr>
          <w:sz w:val="24"/>
          <w:szCs w:val="24"/>
        </w:rPr>
      </w:pPr>
      <w:r w:rsidRPr="00FF68BD">
        <w:rPr>
          <w:sz w:val="24"/>
          <w:szCs w:val="24"/>
        </w:rPr>
        <w:t>Transport companies</w:t>
      </w:r>
    </w:p>
    <w:p w:rsidR="00B36A84" w:rsidRDefault="00B36A84" w:rsidP="00B36A84">
      <w:pPr>
        <w:pStyle w:val="ListParagraph"/>
        <w:numPr>
          <w:ilvl w:val="0"/>
          <w:numId w:val="11"/>
        </w:numPr>
        <w:rPr>
          <w:sz w:val="24"/>
          <w:szCs w:val="24"/>
        </w:rPr>
      </w:pPr>
      <w:r w:rsidRPr="00FF68BD">
        <w:rPr>
          <w:sz w:val="24"/>
          <w:szCs w:val="24"/>
        </w:rPr>
        <w:t>Park facility investors</w:t>
      </w:r>
    </w:p>
    <w:p w:rsidR="00406FD6" w:rsidRPr="00406FD6" w:rsidRDefault="00406FD6" w:rsidP="00406FD6">
      <w:pPr>
        <w:spacing w:before="120" w:after="120"/>
        <w:rPr>
          <w:rFonts w:cs="Arial"/>
        </w:rPr>
      </w:pPr>
      <w:r w:rsidRPr="00406FD6">
        <w:rPr>
          <w:rFonts w:cs="Arial"/>
          <w:b/>
        </w:rPr>
        <w:t>Proposed activities of the NAMA</w:t>
      </w:r>
    </w:p>
    <w:p w:rsidR="00406FD6" w:rsidRPr="00406FD6" w:rsidRDefault="00406FD6" w:rsidP="00406FD6">
      <w:pPr>
        <w:spacing w:before="120" w:after="120"/>
        <w:rPr>
          <w:rFonts w:cs="Arial"/>
        </w:rPr>
      </w:pPr>
      <w:r w:rsidRPr="00406FD6">
        <w:rPr>
          <w:rFonts w:cs="Arial"/>
        </w:rPr>
        <w:t xml:space="preserve">The activities of the NAMA include planning and design of 9 routes of the BRT with prioritized lanes for buses and stops. This will enable timely start, stopping and ending of the trips reducing emissions associated with traffic congestion due to combustion in such crowding on roads. </w:t>
      </w:r>
    </w:p>
    <w:p w:rsidR="00406FD6" w:rsidRPr="00406FD6" w:rsidRDefault="00406FD6" w:rsidP="00406FD6">
      <w:pPr>
        <w:spacing w:before="120" w:after="120"/>
        <w:rPr>
          <w:rFonts w:cs="Arial"/>
        </w:rPr>
      </w:pPr>
      <w:r w:rsidRPr="00406FD6">
        <w:rPr>
          <w:rFonts w:cs="Arial"/>
        </w:rPr>
        <w:t>The routes will be linked and connected to the feeder modes through interchange stations designed with facilities for stopping and transiting shades. Linkage with NMT lanes and interchange stations will also be implemented. Park and ride facilities of parking buildings to incentivise use of public transport and reduction of emissions from private cars for longer trips. These will be designed around a city ring outside the central business district.</w:t>
      </w:r>
    </w:p>
    <w:p w:rsidR="00406FD6" w:rsidRPr="00406FD6" w:rsidRDefault="00406FD6" w:rsidP="00406FD6">
      <w:pPr>
        <w:spacing w:before="120" w:after="120"/>
        <w:rPr>
          <w:rFonts w:cs="Arial"/>
        </w:rPr>
      </w:pPr>
      <w:r w:rsidRPr="00406FD6">
        <w:rPr>
          <w:rFonts w:cs="Arial"/>
        </w:rPr>
        <w:t xml:space="preserve">The NAMA will also include awareness raising. This is key, so various public campaigns and promotions will be coordinated through the NAMA, including public messages and </w:t>
      </w:r>
      <w:r w:rsidRPr="00406FD6">
        <w:rPr>
          <w:rFonts w:cs="Arial"/>
        </w:rPr>
        <w:lastRenderedPageBreak/>
        <w:t>campaigns. Ticket coupons, long-term charges and pass chips will be instituted together with technology and devices to enable quick and efficient transactions.</w:t>
      </w:r>
    </w:p>
    <w:p w:rsidR="00406FD6" w:rsidRPr="00406FD6" w:rsidRDefault="00406FD6" w:rsidP="00406FD6">
      <w:pPr>
        <w:spacing w:before="120"/>
        <w:rPr>
          <w:rFonts w:cs="Arial"/>
        </w:rPr>
      </w:pPr>
      <w:r w:rsidRPr="00406FD6">
        <w:rPr>
          <w:rFonts w:cs="Arial"/>
        </w:rPr>
        <w:t>The NAMA will also include training and study tours for the managers of the BRT and companies to be contracted to run the services will also be an activity. This will focus on planning, programming and scheduling buses along the routes and ensuring systems for operational efficiency.</w:t>
      </w:r>
      <w:r w:rsidR="00420375">
        <w:rPr>
          <w:rFonts w:cs="Arial"/>
        </w:rPr>
        <w:t xml:space="preserve"> Table 1 shows the proposed workplan for </w:t>
      </w:r>
      <w:r w:rsidR="00B232D7">
        <w:rPr>
          <w:rFonts w:cs="Arial"/>
        </w:rPr>
        <w:t>the first 3 years of the</w:t>
      </w:r>
      <w:r w:rsidR="00420375">
        <w:rPr>
          <w:rFonts w:cs="Arial"/>
        </w:rPr>
        <w:t xml:space="preserve"> BRT NAMA.</w:t>
      </w:r>
    </w:p>
    <w:p w:rsidR="00406FD6" w:rsidRPr="00406FD6" w:rsidRDefault="00406FD6" w:rsidP="00406FD6">
      <w:pPr>
        <w:rPr>
          <w:rFonts w:cs="Arial"/>
        </w:rPr>
      </w:pPr>
    </w:p>
    <w:p w:rsidR="00406FD6" w:rsidRPr="00406FD6" w:rsidRDefault="00406FD6" w:rsidP="00406FD6">
      <w:pPr>
        <w:spacing w:after="120"/>
        <w:rPr>
          <w:b/>
        </w:rPr>
      </w:pPr>
      <w:r>
        <w:rPr>
          <w:b/>
        </w:rPr>
        <w:t xml:space="preserve">Table </w:t>
      </w:r>
      <w:r w:rsidR="00420375">
        <w:rPr>
          <w:b/>
        </w:rPr>
        <w:t xml:space="preserve">1 </w:t>
      </w:r>
      <w:r w:rsidRPr="00406FD6">
        <w:rPr>
          <w:b/>
        </w:rPr>
        <w:t>Proposed Work Plan for Implementing</w:t>
      </w:r>
      <w:r w:rsidR="00420375">
        <w:rPr>
          <w:b/>
        </w:rPr>
        <w:t xml:space="preserve"> the BRT </w:t>
      </w:r>
      <w:r w:rsidRPr="00406FD6">
        <w:rPr>
          <w:b/>
        </w:rPr>
        <w:t>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856"/>
        <w:gridCol w:w="856"/>
        <w:gridCol w:w="854"/>
      </w:tblGrid>
      <w:tr w:rsidR="00406FD6" w:rsidRPr="009C61D6" w:rsidTr="007C3213">
        <w:tc>
          <w:tcPr>
            <w:tcW w:w="3576" w:type="pct"/>
            <w:shd w:val="clear" w:color="auto" w:fill="auto"/>
          </w:tcPr>
          <w:p w:rsidR="00406FD6" w:rsidRPr="009C61D6" w:rsidRDefault="00406FD6" w:rsidP="007C3213">
            <w:pPr>
              <w:rPr>
                <w:rFonts w:cs="Arial"/>
                <w:sz w:val="18"/>
                <w:szCs w:val="18"/>
              </w:rPr>
            </w:pPr>
          </w:p>
        </w:tc>
        <w:tc>
          <w:tcPr>
            <w:tcW w:w="1424" w:type="pct"/>
            <w:gridSpan w:val="3"/>
            <w:shd w:val="clear" w:color="auto" w:fill="auto"/>
          </w:tcPr>
          <w:p w:rsidR="00406FD6" w:rsidRPr="009C61D6" w:rsidRDefault="00406FD6" w:rsidP="007C3213">
            <w:pPr>
              <w:rPr>
                <w:rFonts w:cs="Arial"/>
                <w:sz w:val="18"/>
                <w:szCs w:val="18"/>
              </w:rPr>
            </w:pPr>
            <w:r>
              <w:rPr>
                <w:rFonts w:cs="Arial"/>
                <w:sz w:val="18"/>
                <w:szCs w:val="18"/>
              </w:rPr>
              <w:t>Timeline in years</w:t>
            </w:r>
          </w:p>
        </w:tc>
      </w:tr>
      <w:tr w:rsidR="00406FD6" w:rsidRPr="009C61D6" w:rsidTr="007C3213">
        <w:tc>
          <w:tcPr>
            <w:tcW w:w="3576" w:type="pct"/>
            <w:shd w:val="clear" w:color="auto" w:fill="auto"/>
          </w:tcPr>
          <w:p w:rsidR="00406FD6" w:rsidRPr="009C61D6" w:rsidRDefault="00406FD6" w:rsidP="007C3213">
            <w:pPr>
              <w:rPr>
                <w:rFonts w:cs="Arial"/>
                <w:sz w:val="18"/>
                <w:szCs w:val="18"/>
              </w:rPr>
            </w:pPr>
          </w:p>
        </w:tc>
        <w:tc>
          <w:tcPr>
            <w:tcW w:w="475" w:type="pct"/>
            <w:shd w:val="clear" w:color="auto" w:fill="auto"/>
          </w:tcPr>
          <w:p w:rsidR="00406FD6" w:rsidRPr="009C61D6" w:rsidRDefault="00406FD6" w:rsidP="007C3213">
            <w:pPr>
              <w:rPr>
                <w:rFonts w:cs="Arial"/>
                <w:sz w:val="18"/>
                <w:szCs w:val="18"/>
              </w:rPr>
            </w:pPr>
            <w:r w:rsidRPr="009C61D6">
              <w:rPr>
                <w:rFonts w:cs="Arial"/>
                <w:sz w:val="18"/>
                <w:szCs w:val="18"/>
              </w:rPr>
              <w:t>1</w:t>
            </w:r>
          </w:p>
        </w:tc>
        <w:tc>
          <w:tcPr>
            <w:tcW w:w="475" w:type="pct"/>
            <w:shd w:val="clear" w:color="auto" w:fill="auto"/>
          </w:tcPr>
          <w:p w:rsidR="00406FD6" w:rsidRPr="009C61D6" w:rsidRDefault="00406FD6" w:rsidP="007C3213">
            <w:pPr>
              <w:rPr>
                <w:rFonts w:cs="Arial"/>
                <w:sz w:val="18"/>
                <w:szCs w:val="18"/>
              </w:rPr>
            </w:pPr>
            <w:r w:rsidRPr="009C61D6">
              <w:rPr>
                <w:rFonts w:cs="Arial"/>
                <w:sz w:val="18"/>
                <w:szCs w:val="18"/>
              </w:rPr>
              <w:t>2</w:t>
            </w:r>
          </w:p>
        </w:tc>
        <w:tc>
          <w:tcPr>
            <w:tcW w:w="474" w:type="pct"/>
            <w:shd w:val="clear" w:color="auto" w:fill="auto"/>
          </w:tcPr>
          <w:p w:rsidR="00406FD6" w:rsidRPr="009C61D6" w:rsidRDefault="00406FD6" w:rsidP="007C3213">
            <w:pPr>
              <w:rPr>
                <w:rFonts w:cs="Arial"/>
                <w:sz w:val="18"/>
                <w:szCs w:val="18"/>
              </w:rPr>
            </w:pPr>
            <w:r w:rsidRPr="009C61D6">
              <w:rPr>
                <w:rFonts w:cs="Arial"/>
                <w:sz w:val="18"/>
                <w:szCs w:val="18"/>
              </w:rPr>
              <w:t>3</w:t>
            </w:r>
          </w:p>
        </w:tc>
      </w:tr>
      <w:tr w:rsidR="00406FD6" w:rsidRPr="009C61D6" w:rsidTr="00300EF9">
        <w:tc>
          <w:tcPr>
            <w:tcW w:w="3576" w:type="pct"/>
            <w:shd w:val="clear" w:color="auto" w:fill="auto"/>
          </w:tcPr>
          <w:p w:rsidR="00406FD6" w:rsidRPr="009C61D6" w:rsidRDefault="00406FD6" w:rsidP="007C3213">
            <w:pPr>
              <w:rPr>
                <w:rFonts w:cs="Arial"/>
                <w:sz w:val="18"/>
                <w:szCs w:val="18"/>
              </w:rPr>
            </w:pPr>
            <w:r>
              <w:rPr>
                <w:rFonts w:cs="Arial"/>
                <w:sz w:val="18"/>
                <w:szCs w:val="18"/>
              </w:rPr>
              <w:t>P</w:t>
            </w:r>
            <w:r w:rsidRPr="00486440">
              <w:rPr>
                <w:rFonts w:cs="Arial"/>
                <w:sz w:val="18"/>
                <w:szCs w:val="18"/>
              </w:rPr>
              <w:t>lanning and design of 9 routes of the BRT with prioritized lanes for buses and stops</w:t>
            </w:r>
          </w:p>
        </w:tc>
        <w:tc>
          <w:tcPr>
            <w:tcW w:w="475" w:type="pct"/>
            <w:shd w:val="clear" w:color="auto" w:fill="990000"/>
          </w:tcPr>
          <w:p w:rsidR="00406FD6" w:rsidRPr="009C61D6" w:rsidRDefault="00406FD6" w:rsidP="007C3213">
            <w:pPr>
              <w:rPr>
                <w:rFonts w:cs="Arial"/>
                <w:sz w:val="18"/>
                <w:szCs w:val="18"/>
              </w:rPr>
            </w:pPr>
          </w:p>
        </w:tc>
        <w:tc>
          <w:tcPr>
            <w:tcW w:w="475" w:type="pct"/>
            <w:shd w:val="clear" w:color="auto" w:fill="990000"/>
          </w:tcPr>
          <w:p w:rsidR="00406FD6" w:rsidRPr="009C61D6" w:rsidRDefault="00406FD6" w:rsidP="007C3213">
            <w:pPr>
              <w:rPr>
                <w:rFonts w:cs="Arial"/>
                <w:sz w:val="18"/>
                <w:szCs w:val="18"/>
              </w:rPr>
            </w:pPr>
          </w:p>
        </w:tc>
        <w:tc>
          <w:tcPr>
            <w:tcW w:w="474" w:type="pct"/>
            <w:shd w:val="clear" w:color="auto" w:fill="auto"/>
          </w:tcPr>
          <w:p w:rsidR="00406FD6" w:rsidRPr="009C61D6" w:rsidRDefault="00406FD6" w:rsidP="007C3213">
            <w:pPr>
              <w:rPr>
                <w:rFonts w:cs="Arial"/>
                <w:sz w:val="18"/>
                <w:szCs w:val="18"/>
              </w:rPr>
            </w:pPr>
          </w:p>
        </w:tc>
      </w:tr>
      <w:tr w:rsidR="00406FD6" w:rsidRPr="009C61D6" w:rsidTr="00300EF9">
        <w:tc>
          <w:tcPr>
            <w:tcW w:w="3576" w:type="pct"/>
            <w:shd w:val="clear" w:color="auto" w:fill="auto"/>
          </w:tcPr>
          <w:p w:rsidR="00406FD6" w:rsidRPr="009C61D6" w:rsidRDefault="00406FD6" w:rsidP="007C3213">
            <w:pPr>
              <w:rPr>
                <w:rFonts w:cs="Arial"/>
                <w:sz w:val="18"/>
                <w:szCs w:val="18"/>
              </w:rPr>
            </w:pPr>
            <w:r>
              <w:rPr>
                <w:rFonts w:cs="Arial"/>
                <w:sz w:val="18"/>
                <w:szCs w:val="18"/>
              </w:rPr>
              <w:t>I</w:t>
            </w:r>
            <w:r w:rsidRPr="000819BC">
              <w:rPr>
                <w:rFonts w:cs="Arial"/>
                <w:sz w:val="18"/>
                <w:szCs w:val="18"/>
              </w:rPr>
              <w:t>nterchange stations designed</w:t>
            </w:r>
          </w:p>
        </w:tc>
        <w:tc>
          <w:tcPr>
            <w:tcW w:w="475" w:type="pct"/>
            <w:shd w:val="clear" w:color="auto" w:fill="auto"/>
          </w:tcPr>
          <w:p w:rsidR="00406FD6" w:rsidRPr="009C61D6" w:rsidRDefault="00406FD6" w:rsidP="007C3213">
            <w:pPr>
              <w:rPr>
                <w:rFonts w:cs="Arial"/>
                <w:sz w:val="18"/>
                <w:szCs w:val="18"/>
              </w:rPr>
            </w:pPr>
          </w:p>
        </w:tc>
        <w:tc>
          <w:tcPr>
            <w:tcW w:w="475" w:type="pct"/>
            <w:shd w:val="clear" w:color="auto" w:fill="990000"/>
          </w:tcPr>
          <w:p w:rsidR="00406FD6" w:rsidRPr="009C61D6" w:rsidRDefault="00406FD6" w:rsidP="007C3213">
            <w:pPr>
              <w:rPr>
                <w:rFonts w:cs="Arial"/>
                <w:sz w:val="18"/>
                <w:szCs w:val="18"/>
              </w:rPr>
            </w:pPr>
          </w:p>
        </w:tc>
        <w:tc>
          <w:tcPr>
            <w:tcW w:w="474" w:type="pct"/>
            <w:shd w:val="clear" w:color="auto" w:fill="auto"/>
          </w:tcPr>
          <w:p w:rsidR="00406FD6" w:rsidRPr="009C61D6" w:rsidRDefault="00406FD6" w:rsidP="007C3213">
            <w:pPr>
              <w:rPr>
                <w:rFonts w:cs="Arial"/>
                <w:sz w:val="18"/>
                <w:szCs w:val="18"/>
              </w:rPr>
            </w:pPr>
          </w:p>
        </w:tc>
      </w:tr>
      <w:tr w:rsidR="00406FD6" w:rsidRPr="009C61D6" w:rsidTr="00300EF9">
        <w:tc>
          <w:tcPr>
            <w:tcW w:w="3576" w:type="pct"/>
            <w:shd w:val="clear" w:color="auto" w:fill="auto"/>
          </w:tcPr>
          <w:p w:rsidR="00406FD6" w:rsidRPr="009C61D6" w:rsidRDefault="00420375" w:rsidP="007C3213">
            <w:pPr>
              <w:rPr>
                <w:rFonts w:cs="Arial"/>
                <w:sz w:val="18"/>
                <w:szCs w:val="18"/>
              </w:rPr>
            </w:pPr>
            <w:r>
              <w:rPr>
                <w:rFonts w:cs="Arial"/>
                <w:sz w:val="18"/>
                <w:szCs w:val="18"/>
              </w:rPr>
              <w:t>T</w:t>
            </w:r>
            <w:r w:rsidR="00406FD6" w:rsidRPr="000819BC">
              <w:rPr>
                <w:rFonts w:cs="Arial"/>
                <w:sz w:val="18"/>
                <w:szCs w:val="18"/>
              </w:rPr>
              <w:t>raining and study tours for the managers of the BRT</w:t>
            </w:r>
          </w:p>
        </w:tc>
        <w:tc>
          <w:tcPr>
            <w:tcW w:w="475" w:type="pct"/>
            <w:shd w:val="clear" w:color="auto" w:fill="auto"/>
          </w:tcPr>
          <w:p w:rsidR="00406FD6" w:rsidRPr="009C61D6" w:rsidRDefault="00406FD6" w:rsidP="007C3213">
            <w:pPr>
              <w:rPr>
                <w:rFonts w:cs="Arial"/>
                <w:sz w:val="18"/>
                <w:szCs w:val="18"/>
              </w:rPr>
            </w:pPr>
          </w:p>
        </w:tc>
        <w:tc>
          <w:tcPr>
            <w:tcW w:w="475" w:type="pct"/>
            <w:shd w:val="clear" w:color="auto" w:fill="auto"/>
          </w:tcPr>
          <w:p w:rsidR="00406FD6" w:rsidRPr="009C61D6" w:rsidRDefault="00406FD6" w:rsidP="007C3213">
            <w:pPr>
              <w:rPr>
                <w:rFonts w:cs="Arial"/>
                <w:sz w:val="18"/>
                <w:szCs w:val="18"/>
              </w:rPr>
            </w:pPr>
          </w:p>
        </w:tc>
        <w:tc>
          <w:tcPr>
            <w:tcW w:w="474" w:type="pct"/>
            <w:shd w:val="clear" w:color="auto" w:fill="990000"/>
          </w:tcPr>
          <w:p w:rsidR="00406FD6" w:rsidRPr="009C61D6" w:rsidRDefault="00406FD6" w:rsidP="007C3213">
            <w:pPr>
              <w:rPr>
                <w:rFonts w:cs="Arial"/>
                <w:sz w:val="18"/>
                <w:szCs w:val="18"/>
              </w:rPr>
            </w:pPr>
          </w:p>
        </w:tc>
      </w:tr>
      <w:tr w:rsidR="00406FD6" w:rsidRPr="009C61D6" w:rsidTr="00300EF9">
        <w:tc>
          <w:tcPr>
            <w:tcW w:w="3576" w:type="pct"/>
            <w:shd w:val="clear" w:color="auto" w:fill="auto"/>
          </w:tcPr>
          <w:p w:rsidR="00406FD6" w:rsidRPr="009C61D6" w:rsidRDefault="00406FD6" w:rsidP="007C3213">
            <w:pPr>
              <w:rPr>
                <w:rFonts w:cs="Arial"/>
                <w:sz w:val="18"/>
                <w:szCs w:val="18"/>
              </w:rPr>
            </w:pPr>
            <w:r>
              <w:rPr>
                <w:rFonts w:cs="Arial"/>
                <w:sz w:val="18"/>
                <w:szCs w:val="18"/>
              </w:rPr>
              <w:t>Contracting companies</w:t>
            </w:r>
            <w:r w:rsidRPr="000819BC">
              <w:rPr>
                <w:rFonts w:cs="Arial"/>
                <w:sz w:val="18"/>
                <w:szCs w:val="18"/>
              </w:rPr>
              <w:t xml:space="preserve"> to run the services</w:t>
            </w:r>
          </w:p>
        </w:tc>
        <w:tc>
          <w:tcPr>
            <w:tcW w:w="475" w:type="pct"/>
            <w:shd w:val="clear" w:color="auto" w:fill="auto"/>
          </w:tcPr>
          <w:p w:rsidR="00406FD6" w:rsidRPr="009C61D6" w:rsidRDefault="00406FD6" w:rsidP="007C3213">
            <w:pPr>
              <w:rPr>
                <w:rFonts w:cs="Arial"/>
                <w:sz w:val="18"/>
                <w:szCs w:val="18"/>
              </w:rPr>
            </w:pPr>
          </w:p>
        </w:tc>
        <w:tc>
          <w:tcPr>
            <w:tcW w:w="475" w:type="pct"/>
            <w:shd w:val="clear" w:color="auto" w:fill="auto"/>
          </w:tcPr>
          <w:p w:rsidR="00406FD6" w:rsidRPr="009C61D6" w:rsidRDefault="00406FD6" w:rsidP="007C3213">
            <w:pPr>
              <w:rPr>
                <w:rFonts w:cs="Arial"/>
                <w:sz w:val="18"/>
                <w:szCs w:val="18"/>
              </w:rPr>
            </w:pPr>
          </w:p>
        </w:tc>
        <w:tc>
          <w:tcPr>
            <w:tcW w:w="474" w:type="pct"/>
            <w:shd w:val="clear" w:color="auto" w:fill="990000"/>
          </w:tcPr>
          <w:p w:rsidR="00406FD6" w:rsidRPr="009C61D6" w:rsidRDefault="00406FD6" w:rsidP="007C3213">
            <w:pPr>
              <w:rPr>
                <w:rFonts w:cs="Arial"/>
                <w:sz w:val="18"/>
                <w:szCs w:val="18"/>
              </w:rPr>
            </w:pPr>
          </w:p>
        </w:tc>
      </w:tr>
      <w:tr w:rsidR="00406FD6" w:rsidRPr="009C61D6" w:rsidTr="00300EF9">
        <w:tc>
          <w:tcPr>
            <w:tcW w:w="3576" w:type="pct"/>
            <w:shd w:val="clear" w:color="auto" w:fill="auto"/>
          </w:tcPr>
          <w:p w:rsidR="00406FD6" w:rsidRPr="009C61D6" w:rsidRDefault="00406FD6" w:rsidP="007C3213">
            <w:pPr>
              <w:rPr>
                <w:rFonts w:cs="Arial"/>
                <w:sz w:val="18"/>
                <w:szCs w:val="18"/>
              </w:rPr>
            </w:pPr>
            <w:r w:rsidRPr="000819BC">
              <w:rPr>
                <w:rFonts w:cs="Arial"/>
                <w:sz w:val="18"/>
                <w:szCs w:val="18"/>
              </w:rPr>
              <w:t>Public information and awareness campaign</w:t>
            </w:r>
          </w:p>
        </w:tc>
        <w:tc>
          <w:tcPr>
            <w:tcW w:w="475" w:type="pct"/>
            <w:shd w:val="clear" w:color="auto" w:fill="990000"/>
          </w:tcPr>
          <w:p w:rsidR="00406FD6" w:rsidRPr="009C61D6" w:rsidRDefault="00406FD6" w:rsidP="007C3213">
            <w:pPr>
              <w:rPr>
                <w:rFonts w:cs="Arial"/>
                <w:sz w:val="18"/>
                <w:szCs w:val="18"/>
              </w:rPr>
            </w:pPr>
          </w:p>
        </w:tc>
        <w:tc>
          <w:tcPr>
            <w:tcW w:w="475" w:type="pct"/>
            <w:shd w:val="clear" w:color="auto" w:fill="990000"/>
          </w:tcPr>
          <w:p w:rsidR="00406FD6" w:rsidRPr="009C61D6" w:rsidRDefault="00406FD6" w:rsidP="007C3213">
            <w:pPr>
              <w:rPr>
                <w:rFonts w:cs="Arial"/>
                <w:sz w:val="18"/>
                <w:szCs w:val="18"/>
              </w:rPr>
            </w:pPr>
          </w:p>
        </w:tc>
        <w:tc>
          <w:tcPr>
            <w:tcW w:w="474" w:type="pct"/>
            <w:shd w:val="clear" w:color="auto" w:fill="990000"/>
          </w:tcPr>
          <w:p w:rsidR="00406FD6" w:rsidRPr="009C61D6" w:rsidRDefault="00406FD6" w:rsidP="007C3213">
            <w:pPr>
              <w:rPr>
                <w:rFonts w:cs="Arial"/>
                <w:sz w:val="18"/>
                <w:szCs w:val="18"/>
              </w:rPr>
            </w:pPr>
          </w:p>
        </w:tc>
      </w:tr>
      <w:tr w:rsidR="00406FD6" w:rsidRPr="009C61D6" w:rsidTr="00300EF9">
        <w:tc>
          <w:tcPr>
            <w:tcW w:w="3576" w:type="pct"/>
            <w:shd w:val="clear" w:color="auto" w:fill="auto"/>
          </w:tcPr>
          <w:p w:rsidR="00406FD6" w:rsidRPr="009C61D6" w:rsidRDefault="00406FD6" w:rsidP="007C3213">
            <w:pPr>
              <w:rPr>
                <w:rFonts w:cs="Arial"/>
                <w:sz w:val="18"/>
                <w:szCs w:val="18"/>
              </w:rPr>
            </w:pPr>
            <w:r w:rsidRPr="009C61D6">
              <w:rPr>
                <w:rFonts w:cs="Arial"/>
                <w:sz w:val="18"/>
                <w:szCs w:val="18"/>
              </w:rPr>
              <w:t>Conduct annual &amp; biennial MRV reporting and monitoring and evaluation</w:t>
            </w:r>
          </w:p>
        </w:tc>
        <w:tc>
          <w:tcPr>
            <w:tcW w:w="475" w:type="pct"/>
            <w:shd w:val="clear" w:color="auto" w:fill="990000"/>
          </w:tcPr>
          <w:p w:rsidR="00406FD6" w:rsidRPr="009C61D6" w:rsidRDefault="00406FD6" w:rsidP="007C3213">
            <w:pPr>
              <w:rPr>
                <w:rFonts w:cs="Arial"/>
                <w:sz w:val="18"/>
                <w:szCs w:val="18"/>
              </w:rPr>
            </w:pPr>
          </w:p>
        </w:tc>
        <w:tc>
          <w:tcPr>
            <w:tcW w:w="475" w:type="pct"/>
            <w:shd w:val="clear" w:color="auto" w:fill="990000"/>
          </w:tcPr>
          <w:p w:rsidR="00406FD6" w:rsidRPr="009C61D6" w:rsidRDefault="00406FD6" w:rsidP="007C3213">
            <w:pPr>
              <w:rPr>
                <w:rFonts w:cs="Arial"/>
                <w:sz w:val="18"/>
                <w:szCs w:val="18"/>
              </w:rPr>
            </w:pPr>
          </w:p>
        </w:tc>
        <w:tc>
          <w:tcPr>
            <w:tcW w:w="474" w:type="pct"/>
            <w:shd w:val="clear" w:color="auto" w:fill="990000"/>
          </w:tcPr>
          <w:p w:rsidR="00406FD6" w:rsidRPr="009C61D6" w:rsidRDefault="00406FD6" w:rsidP="007C3213">
            <w:pPr>
              <w:rPr>
                <w:rFonts w:cs="Arial"/>
                <w:sz w:val="18"/>
                <w:szCs w:val="18"/>
              </w:rPr>
            </w:pPr>
          </w:p>
        </w:tc>
      </w:tr>
    </w:tbl>
    <w:p w:rsidR="00406FD6" w:rsidRPr="00420375" w:rsidRDefault="00406FD6" w:rsidP="00420375">
      <w:pPr>
        <w:spacing w:after="120"/>
        <w:rPr>
          <w:rFonts w:cs="Arial"/>
          <w:b/>
        </w:rPr>
      </w:pPr>
    </w:p>
    <w:p w:rsidR="00406FD6" w:rsidRPr="00406FD6" w:rsidRDefault="00406FD6" w:rsidP="00406FD6"/>
    <w:p w:rsidR="00A52E4D" w:rsidRPr="00FF68BD" w:rsidRDefault="00A52E4D" w:rsidP="00A52E4D">
      <w:pPr>
        <w:spacing w:after="120" w:line="276" w:lineRule="auto"/>
        <w:rPr>
          <w:rFonts w:cs="Arial"/>
          <w:b/>
        </w:rPr>
      </w:pPr>
      <w:r w:rsidRPr="00FF68BD">
        <w:rPr>
          <w:rFonts w:cs="Arial"/>
          <w:b/>
        </w:rPr>
        <w:t>GHG emissions and sources in the sector</w:t>
      </w:r>
    </w:p>
    <w:p w:rsidR="00A52E4D" w:rsidRDefault="00A52E4D" w:rsidP="00A52E4D">
      <w:pPr>
        <w:spacing w:before="120" w:line="276" w:lineRule="auto"/>
        <w:rPr>
          <w:rFonts w:cs="Arial"/>
          <w:iCs/>
        </w:rPr>
      </w:pPr>
      <w:r w:rsidRPr="00FF68BD">
        <w:rPr>
          <w:rFonts w:cs="Arial"/>
          <w:iCs/>
        </w:rPr>
        <w:t xml:space="preserve">The 2011-12 transportation survey indicated that the city region’s average passenger demand forecast in the next 20 years is 236,045 passengers per day. Using the base year 2012 per capita emissions as set out in the </w:t>
      </w:r>
      <w:r w:rsidRPr="00FF68BD">
        <w:rPr>
          <w:rFonts w:cs="Arial"/>
          <w:i/>
        </w:rPr>
        <w:t>2012 inventory of Kampala metropolitan region</w:t>
      </w:r>
      <w:r w:rsidRPr="00FF68BD">
        <w:rPr>
          <w:rFonts w:cs="Arial"/>
          <w:iCs/>
        </w:rPr>
        <w:t>, total emissions from increased transportation will be Mt 42,960. The emissions will come from continued and increasing amounts of use of fossil fuels of diesel, petroleum and oil for the commuter vehicles. This is also based on the 2011-2012 transportation survey and GHG inventory that both indicated dominance of non-motorized transport but forecasted an increase in use of motorized transport of commuters, including motor cycles and private cars.</w:t>
      </w:r>
      <w:r w:rsidRPr="00FF68BD">
        <w:rPr>
          <w:rStyle w:val="FootnoteReference"/>
          <w:rFonts w:cs="Arial"/>
          <w:iCs/>
        </w:rPr>
        <w:footnoteReference w:id="2"/>
      </w:r>
      <w:r w:rsidRPr="00FF68BD">
        <w:rPr>
          <w:rFonts w:cs="Arial"/>
          <w:iCs/>
        </w:rPr>
        <w:t xml:space="preserve"> The BRT NAMA can target to reduce the emissions by 20 – 30% from the business as usual trajectory.</w:t>
      </w:r>
    </w:p>
    <w:p w:rsidR="00420375" w:rsidRDefault="00420375" w:rsidP="00A52E4D">
      <w:pPr>
        <w:spacing w:before="120" w:line="276" w:lineRule="auto"/>
        <w:rPr>
          <w:rFonts w:cs="Arial"/>
          <w:iCs/>
        </w:rPr>
      </w:pPr>
    </w:p>
    <w:p w:rsidR="00420375" w:rsidRPr="00420375" w:rsidRDefault="00420375" w:rsidP="00420375">
      <w:pPr>
        <w:spacing w:after="120"/>
        <w:rPr>
          <w:rFonts w:cs="Arial"/>
        </w:rPr>
      </w:pPr>
      <w:r w:rsidRPr="00420375">
        <w:rPr>
          <w:rFonts w:cs="Arial"/>
          <w:b/>
        </w:rPr>
        <w:t>Estimated emission reductions resulting from the activities</w:t>
      </w:r>
    </w:p>
    <w:p w:rsidR="00420375" w:rsidRDefault="00420375" w:rsidP="00420375">
      <w:r w:rsidRPr="00420375">
        <w:rPr>
          <w:rFonts w:cs="Arial"/>
          <w:iCs/>
        </w:rPr>
        <w:t xml:space="preserve">Using the base year 2012 per capita emissions, total emissions from increased transportation in the Kampala metropolitan region will be Mt 42,960 over a period of 25 years. The BRT </w:t>
      </w:r>
      <w:r w:rsidRPr="00420375">
        <w:rPr>
          <w:rFonts w:cs="Arial"/>
          <w:iCs/>
        </w:rPr>
        <w:lastRenderedPageBreak/>
        <w:t>NAMA can target to reduce the emissions by 20 - 30% based on the projected passenger demand and per capita emissions. The emissions are calculated using the Global Protocol for Community-Scale emissions inventory that utilizes activity data as shown in Table 2 above and attributes emissions to in-boundary activities and out-boundary activities.</w:t>
      </w:r>
      <w:r w:rsidRPr="00FF68BD">
        <w:rPr>
          <w:rStyle w:val="FootnoteReference"/>
          <w:rFonts w:cs="Arial"/>
          <w:iCs/>
        </w:rPr>
        <w:footnoteReference w:id="3"/>
      </w:r>
      <w:r w:rsidRPr="00420375">
        <w:rPr>
          <w:rFonts w:cs="Arial"/>
          <w:iCs/>
        </w:rPr>
        <w:t xml:space="preserve"> The emissions are computed for CO</w:t>
      </w:r>
      <w:r w:rsidRPr="00420375">
        <w:rPr>
          <w:rFonts w:cs="Arial"/>
          <w:iCs/>
          <w:vertAlign w:val="subscript"/>
        </w:rPr>
        <w:t>2</w:t>
      </w:r>
      <w:r w:rsidRPr="00420375">
        <w:rPr>
          <w:rFonts w:cs="Arial"/>
          <w:iCs/>
        </w:rPr>
        <w:t>, N</w:t>
      </w:r>
      <w:r w:rsidRPr="00420375">
        <w:rPr>
          <w:rFonts w:cs="Arial"/>
          <w:iCs/>
          <w:vertAlign w:val="subscript"/>
        </w:rPr>
        <w:t>2</w:t>
      </w:r>
      <w:r w:rsidRPr="00420375">
        <w:rPr>
          <w:rFonts w:cs="Arial"/>
          <w:iCs/>
        </w:rPr>
        <w:t>O and CH</w:t>
      </w:r>
      <w:r w:rsidRPr="00420375">
        <w:rPr>
          <w:rFonts w:cs="Arial"/>
          <w:iCs/>
          <w:vertAlign w:val="subscript"/>
        </w:rPr>
        <w:t>4</w:t>
      </w:r>
      <w:r w:rsidRPr="00420375">
        <w:rPr>
          <w:rFonts w:cs="Arial"/>
          <w:iCs/>
        </w:rPr>
        <w:t xml:space="preserve"> but all computed as CO</w:t>
      </w:r>
      <w:r w:rsidRPr="00420375">
        <w:rPr>
          <w:rFonts w:cs="Arial"/>
          <w:iCs/>
          <w:vertAlign w:val="subscript"/>
        </w:rPr>
        <w:t>2</w:t>
      </w:r>
      <w:r w:rsidRPr="00420375">
        <w:rPr>
          <w:rFonts w:cs="Arial"/>
          <w:iCs/>
        </w:rPr>
        <w:t>e. This methodology also takes into account the scope 1, 2 and 3 of emissions and apportions emissions associated with transportation that originates from elsewhere but ending within the city boundary</w:t>
      </w:r>
    </w:p>
    <w:p w:rsidR="00CF07C7" w:rsidRPr="00FF68BD" w:rsidRDefault="00CF07C7" w:rsidP="00A52E4D">
      <w:pPr>
        <w:spacing w:before="120" w:line="276" w:lineRule="auto"/>
        <w:rPr>
          <w:rFonts w:cs="Arial"/>
          <w:iCs/>
        </w:rPr>
      </w:pPr>
    </w:p>
    <w:p w:rsidR="00B36A84" w:rsidRPr="00FF68BD" w:rsidRDefault="00B36A84" w:rsidP="00B36A84">
      <w:pPr>
        <w:spacing w:after="120" w:line="276" w:lineRule="auto"/>
        <w:rPr>
          <w:rFonts w:cs="Arial"/>
        </w:rPr>
      </w:pPr>
      <w:r w:rsidRPr="00FF68BD">
        <w:rPr>
          <w:rFonts w:cs="Arial"/>
          <w:b/>
        </w:rPr>
        <w:t>GHG emissions and sources addressed by the NAMA</w:t>
      </w:r>
    </w:p>
    <w:p w:rsidR="00B36A84" w:rsidRPr="00FF68BD" w:rsidRDefault="00B36A84" w:rsidP="00B36A84">
      <w:pPr>
        <w:spacing w:line="276" w:lineRule="auto"/>
        <w:rPr>
          <w:rFonts w:cs="Arial"/>
        </w:rPr>
      </w:pPr>
      <w:r w:rsidRPr="00FF68BD">
        <w:rPr>
          <w:rFonts w:cs="Arial"/>
          <w:iCs/>
        </w:rPr>
        <w:t xml:space="preserve">Emissions in the Kampala city region stand at </w:t>
      </w:r>
      <w:r w:rsidRPr="00FF68BD">
        <w:rPr>
          <w:rFonts w:cs="Arial"/>
          <w:i/>
          <w:iCs/>
        </w:rPr>
        <w:t>tCO</w:t>
      </w:r>
      <w:r w:rsidRPr="00FF68BD">
        <w:rPr>
          <w:rFonts w:cs="Arial"/>
          <w:i/>
          <w:iCs/>
          <w:vertAlign w:val="subscript"/>
        </w:rPr>
        <w:t>2</w:t>
      </w:r>
      <w:r w:rsidRPr="00FF68BD">
        <w:rPr>
          <w:rFonts w:cs="Arial"/>
          <w:iCs/>
        </w:rPr>
        <w:t xml:space="preserve"> 2,743.3 based on the 2012 baseline for the region (see Table 1). The emissions come from the different modes of commuters, motorcycles, trucks, rail and are attributed based on proportional responsibility. The BRT will reduce and or save emissions through the routes including Entebbe road, Jinja Road, Bombo Road, Gayaza Road, Kira Road, Ggaba Road, Masaka Road, Hoima Road and Port Bell road. The total passenger forecasted average demand in next 20 years is 236,045 passengers per day. </w:t>
      </w:r>
    </w:p>
    <w:p w:rsidR="00B36A84" w:rsidRPr="00FF68BD" w:rsidRDefault="00B36A84" w:rsidP="00B36A84">
      <w:pPr>
        <w:spacing w:after="120" w:line="276" w:lineRule="auto"/>
        <w:rPr>
          <w:rFonts w:cs="Arial"/>
        </w:rPr>
      </w:pPr>
      <w:r w:rsidRPr="00FF68BD">
        <w:rPr>
          <w:rFonts w:cs="Arial"/>
          <w:b/>
        </w:rPr>
        <w:t xml:space="preserve">Emission data sets / emissions information: </w:t>
      </w:r>
      <w:r w:rsidRPr="00FF68BD">
        <w:rPr>
          <w:rFonts w:cs="Arial"/>
        </w:rPr>
        <w:t xml:space="preserve"> </w:t>
      </w:r>
    </w:p>
    <w:p w:rsidR="00B36A84" w:rsidRDefault="00B36A84" w:rsidP="00B36A84">
      <w:pPr>
        <w:spacing w:before="120" w:after="120" w:line="276" w:lineRule="auto"/>
        <w:rPr>
          <w:rFonts w:cs="Arial"/>
        </w:rPr>
      </w:pPr>
      <w:r w:rsidRPr="00FF68BD">
        <w:rPr>
          <w:rFonts w:cs="Arial"/>
        </w:rPr>
        <w:t xml:space="preserve">The recent emissions data in Tables </w:t>
      </w:r>
      <w:r w:rsidR="00420375">
        <w:rPr>
          <w:rFonts w:cs="Arial"/>
        </w:rPr>
        <w:t>2</w:t>
      </w:r>
      <w:r w:rsidRPr="00FF68BD">
        <w:rPr>
          <w:rFonts w:cs="Arial"/>
        </w:rPr>
        <w:t xml:space="preserve"> and </w:t>
      </w:r>
      <w:r w:rsidR="00420375">
        <w:rPr>
          <w:rFonts w:cs="Arial"/>
        </w:rPr>
        <w:t>3</w:t>
      </w:r>
      <w:r w:rsidRPr="00FF68BD">
        <w:rPr>
          <w:rFonts w:cs="Arial"/>
        </w:rPr>
        <w:t xml:space="preserve"> comes from Origin Destination surveys and household surveys of 2011 adjusted to 2012.</w:t>
      </w:r>
    </w:p>
    <w:p w:rsidR="00B36A84" w:rsidRPr="00171B1D" w:rsidRDefault="00B36A84" w:rsidP="00B36A84">
      <w:pPr>
        <w:spacing w:before="120" w:after="120" w:line="276" w:lineRule="auto"/>
        <w:rPr>
          <w:rFonts w:cs="Arial"/>
          <w:b/>
          <w:sz w:val="22"/>
        </w:rPr>
      </w:pPr>
      <w:r w:rsidRPr="00171B1D">
        <w:rPr>
          <w:rFonts w:cs="Arial"/>
          <w:b/>
          <w:sz w:val="22"/>
        </w:rPr>
        <w:t xml:space="preserve">Table </w:t>
      </w:r>
      <w:r w:rsidR="00420375">
        <w:rPr>
          <w:rFonts w:cs="Arial"/>
          <w:b/>
          <w:sz w:val="22"/>
        </w:rPr>
        <w:t>2</w:t>
      </w:r>
      <w:r w:rsidRPr="00171B1D">
        <w:rPr>
          <w:rFonts w:cs="Arial"/>
          <w:b/>
          <w:sz w:val="22"/>
        </w:rPr>
        <w:t>: Average transportation fuel use and emissions by combustion source in Kampala, 2012</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409"/>
        <w:gridCol w:w="1163"/>
        <w:gridCol w:w="1561"/>
        <w:gridCol w:w="1330"/>
        <w:gridCol w:w="1280"/>
        <w:gridCol w:w="992"/>
        <w:gridCol w:w="1019"/>
      </w:tblGrid>
      <w:tr w:rsidR="00B36A84" w:rsidRPr="00FF68BD" w:rsidTr="007C3213">
        <w:trPr>
          <w:trHeight w:val="277"/>
          <w:jc w:val="center"/>
        </w:trPr>
        <w:tc>
          <w:tcPr>
            <w:tcW w:w="1517" w:type="dxa"/>
            <w:shd w:val="clear" w:color="auto" w:fill="auto"/>
            <w:noWrap/>
            <w:hideMark/>
          </w:tcPr>
          <w:p w:rsidR="00B36A84" w:rsidRPr="00FF68BD" w:rsidRDefault="00B36A84" w:rsidP="007C3213">
            <w:pPr>
              <w:spacing w:line="240" w:lineRule="auto"/>
              <w:rPr>
                <w:color w:val="000000"/>
                <w:sz w:val="20"/>
                <w:szCs w:val="20"/>
                <w:lang w:val="en-US" w:eastAsia="en-US"/>
              </w:rPr>
            </w:pPr>
          </w:p>
        </w:tc>
        <w:tc>
          <w:tcPr>
            <w:tcW w:w="1409"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Average Use In Boundary gallons</w:t>
            </w:r>
          </w:p>
        </w:tc>
        <w:tc>
          <w:tcPr>
            <w:tcW w:w="1163"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Average Use Out Boundary gallons</w:t>
            </w:r>
          </w:p>
        </w:tc>
        <w:tc>
          <w:tcPr>
            <w:tcW w:w="1561"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Emissions Kg CO</w:t>
            </w:r>
            <w:r w:rsidRPr="00300EF9">
              <w:rPr>
                <w:b/>
                <w:bCs/>
                <w:color w:val="000000"/>
                <w:sz w:val="20"/>
                <w:szCs w:val="20"/>
                <w:vertAlign w:val="subscript"/>
                <w:lang w:val="en-US" w:eastAsia="en-US"/>
              </w:rPr>
              <w:t>2</w:t>
            </w:r>
            <w:r w:rsidRPr="00FF68BD">
              <w:rPr>
                <w:b/>
                <w:bCs/>
                <w:color w:val="000000"/>
                <w:sz w:val="20"/>
                <w:szCs w:val="20"/>
                <w:lang w:val="en-US" w:eastAsia="en-US"/>
              </w:rPr>
              <w:t>/MMBtu Combined</w:t>
            </w:r>
          </w:p>
        </w:tc>
        <w:tc>
          <w:tcPr>
            <w:tcW w:w="1330"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Kt CO</w:t>
            </w:r>
            <w:r w:rsidRPr="00300EF9">
              <w:rPr>
                <w:b/>
                <w:bCs/>
                <w:color w:val="000000"/>
                <w:sz w:val="20"/>
                <w:szCs w:val="20"/>
                <w:vertAlign w:val="subscript"/>
                <w:lang w:val="en-US" w:eastAsia="en-US"/>
              </w:rPr>
              <w:t>2</w:t>
            </w:r>
          </w:p>
        </w:tc>
        <w:tc>
          <w:tcPr>
            <w:tcW w:w="1280"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Kt CO</w:t>
            </w:r>
            <w:r w:rsidRPr="00300EF9">
              <w:rPr>
                <w:b/>
                <w:bCs/>
                <w:color w:val="000000"/>
                <w:sz w:val="20"/>
                <w:szCs w:val="20"/>
                <w:vertAlign w:val="subscript"/>
                <w:lang w:val="en-US" w:eastAsia="en-US"/>
              </w:rPr>
              <w:t>2</w:t>
            </w:r>
            <w:r w:rsidRPr="00FF68BD">
              <w:rPr>
                <w:b/>
                <w:bCs/>
                <w:color w:val="000000"/>
                <w:sz w:val="20"/>
                <w:szCs w:val="20"/>
                <w:lang w:val="en-US" w:eastAsia="en-US"/>
              </w:rPr>
              <w:t xml:space="preserve"> Out boundary</w:t>
            </w:r>
          </w:p>
        </w:tc>
        <w:tc>
          <w:tcPr>
            <w:tcW w:w="992"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Kt CH</w:t>
            </w:r>
          </w:p>
        </w:tc>
        <w:tc>
          <w:tcPr>
            <w:tcW w:w="1019"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 xml:space="preserve"> Kt NO</w:t>
            </w:r>
          </w:p>
        </w:tc>
      </w:tr>
      <w:tr w:rsidR="00B36A84" w:rsidRPr="00FF68BD" w:rsidTr="007C3213">
        <w:trPr>
          <w:trHeight w:val="297"/>
          <w:jc w:val="center"/>
        </w:trPr>
        <w:tc>
          <w:tcPr>
            <w:tcW w:w="1517" w:type="dxa"/>
            <w:shd w:val="clear" w:color="auto" w:fill="auto"/>
            <w:noWrap/>
            <w:hideMark/>
          </w:tcPr>
          <w:p w:rsidR="00B36A84" w:rsidRPr="00FF68BD" w:rsidRDefault="00B36A84" w:rsidP="007C3213">
            <w:pPr>
              <w:spacing w:line="240" w:lineRule="auto"/>
              <w:rPr>
                <w:b/>
                <w:bCs/>
                <w:color w:val="000000"/>
                <w:sz w:val="20"/>
                <w:szCs w:val="20"/>
                <w:lang w:val="en-US" w:eastAsia="en-US"/>
              </w:rPr>
            </w:pPr>
            <w:r w:rsidRPr="00FF68BD">
              <w:rPr>
                <w:b/>
                <w:bCs/>
                <w:color w:val="000000"/>
                <w:sz w:val="20"/>
                <w:szCs w:val="20"/>
                <w:lang w:val="en-US" w:eastAsia="en-US"/>
              </w:rPr>
              <w:t>b) Mobile Combustion</w:t>
            </w:r>
          </w:p>
        </w:tc>
        <w:tc>
          <w:tcPr>
            <w:tcW w:w="140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163"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561"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33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28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992"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01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r>
      <w:tr w:rsidR="00B36A84" w:rsidRPr="00FF68BD" w:rsidTr="007C3213">
        <w:trPr>
          <w:trHeight w:val="297"/>
          <w:jc w:val="center"/>
        </w:trPr>
        <w:tc>
          <w:tcPr>
            <w:tcW w:w="1517" w:type="dxa"/>
            <w:shd w:val="clear" w:color="auto" w:fill="auto"/>
            <w:noWrap/>
            <w:hideMark/>
          </w:tcPr>
          <w:p w:rsidR="00B36A84" w:rsidRPr="00FF68BD" w:rsidRDefault="00B36A84" w:rsidP="007C3213">
            <w:pPr>
              <w:spacing w:line="240" w:lineRule="auto"/>
              <w:rPr>
                <w:color w:val="000000"/>
                <w:sz w:val="20"/>
                <w:szCs w:val="20"/>
                <w:lang w:val="en-US" w:eastAsia="en-US"/>
              </w:rPr>
            </w:pPr>
            <w:r w:rsidRPr="00FF68BD">
              <w:rPr>
                <w:color w:val="000000"/>
                <w:sz w:val="20"/>
                <w:szCs w:val="20"/>
                <w:lang w:val="en-US" w:eastAsia="en-US"/>
              </w:rPr>
              <w:t>Road transportation</w:t>
            </w:r>
          </w:p>
        </w:tc>
        <w:tc>
          <w:tcPr>
            <w:tcW w:w="140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104,140,130 </w:t>
            </w:r>
          </w:p>
        </w:tc>
        <w:tc>
          <w:tcPr>
            <w:tcW w:w="1163"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353,106 </w:t>
            </w:r>
          </w:p>
        </w:tc>
        <w:tc>
          <w:tcPr>
            <w:tcW w:w="1561"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2,229,946.30 </w:t>
            </w:r>
          </w:p>
        </w:tc>
        <w:tc>
          <w:tcPr>
            <w:tcW w:w="133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2,229.9463 </w:t>
            </w:r>
          </w:p>
        </w:tc>
        <w:tc>
          <w:tcPr>
            <w:tcW w:w="128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512.8877 </w:t>
            </w:r>
          </w:p>
        </w:tc>
        <w:tc>
          <w:tcPr>
            <w:tcW w:w="992"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0.0009 </w:t>
            </w:r>
          </w:p>
        </w:tc>
        <w:tc>
          <w:tcPr>
            <w:tcW w:w="101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0.0065 </w:t>
            </w:r>
          </w:p>
        </w:tc>
      </w:tr>
      <w:tr w:rsidR="00B36A84" w:rsidRPr="00FF68BD" w:rsidTr="007C3213">
        <w:trPr>
          <w:trHeight w:val="297"/>
          <w:jc w:val="center"/>
        </w:trPr>
        <w:tc>
          <w:tcPr>
            <w:tcW w:w="1517" w:type="dxa"/>
            <w:shd w:val="clear" w:color="auto" w:fill="auto"/>
            <w:noWrap/>
            <w:hideMark/>
          </w:tcPr>
          <w:p w:rsidR="00B36A84" w:rsidRPr="00FF68BD" w:rsidRDefault="00B36A84" w:rsidP="007C3213">
            <w:pPr>
              <w:spacing w:line="240" w:lineRule="auto"/>
              <w:rPr>
                <w:color w:val="000000"/>
                <w:sz w:val="20"/>
                <w:szCs w:val="20"/>
                <w:lang w:val="en-US" w:eastAsia="en-US"/>
              </w:rPr>
            </w:pPr>
            <w:r w:rsidRPr="00FF68BD">
              <w:rPr>
                <w:color w:val="000000"/>
                <w:sz w:val="20"/>
                <w:szCs w:val="20"/>
                <w:lang w:val="en-US" w:eastAsia="en-US"/>
              </w:rPr>
              <w:t>Railways</w:t>
            </w:r>
          </w:p>
        </w:tc>
        <w:tc>
          <w:tcPr>
            <w:tcW w:w="140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163"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35 </w:t>
            </w:r>
          </w:p>
        </w:tc>
        <w:tc>
          <w:tcPr>
            <w:tcW w:w="1561"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2.02 </w:t>
            </w:r>
          </w:p>
        </w:tc>
        <w:tc>
          <w:tcPr>
            <w:tcW w:w="133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0.0020 </w:t>
            </w:r>
          </w:p>
        </w:tc>
        <w:tc>
          <w:tcPr>
            <w:tcW w:w="128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992"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0.0000 </w:t>
            </w:r>
          </w:p>
        </w:tc>
        <w:tc>
          <w:tcPr>
            <w:tcW w:w="101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0.0000 </w:t>
            </w:r>
          </w:p>
        </w:tc>
      </w:tr>
      <w:tr w:rsidR="00B36A84" w:rsidRPr="00FF68BD" w:rsidTr="007C3213">
        <w:trPr>
          <w:trHeight w:val="297"/>
          <w:jc w:val="center"/>
        </w:trPr>
        <w:tc>
          <w:tcPr>
            <w:tcW w:w="1517" w:type="dxa"/>
            <w:shd w:val="clear" w:color="auto" w:fill="auto"/>
            <w:noWrap/>
            <w:hideMark/>
          </w:tcPr>
          <w:p w:rsidR="00B36A84" w:rsidRPr="00FF68BD" w:rsidRDefault="00B36A84" w:rsidP="007C3213">
            <w:pPr>
              <w:spacing w:line="240" w:lineRule="auto"/>
              <w:rPr>
                <w:color w:val="000000"/>
                <w:sz w:val="20"/>
                <w:szCs w:val="20"/>
                <w:lang w:val="en-US" w:eastAsia="en-US"/>
              </w:rPr>
            </w:pPr>
            <w:r w:rsidRPr="00FF68BD">
              <w:rPr>
                <w:color w:val="000000"/>
                <w:sz w:val="20"/>
                <w:szCs w:val="20"/>
                <w:lang w:val="en-US" w:eastAsia="en-US"/>
              </w:rPr>
              <w:t>International aviation*</w:t>
            </w:r>
          </w:p>
        </w:tc>
        <w:tc>
          <w:tcPr>
            <w:tcW w:w="140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96 </w:t>
            </w:r>
          </w:p>
        </w:tc>
        <w:tc>
          <w:tcPr>
            <w:tcW w:w="1163"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561"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23,658,811.3 </w:t>
            </w:r>
          </w:p>
        </w:tc>
        <w:tc>
          <w:tcPr>
            <w:tcW w:w="133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23,658.8113 </w:t>
            </w:r>
          </w:p>
        </w:tc>
        <w:tc>
          <w:tcPr>
            <w:tcW w:w="128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992"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0.0121 </w:t>
            </w:r>
          </w:p>
        </w:tc>
        <w:tc>
          <w:tcPr>
            <w:tcW w:w="101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0.0040 </w:t>
            </w:r>
          </w:p>
        </w:tc>
      </w:tr>
      <w:tr w:rsidR="00B36A84" w:rsidRPr="00FF68BD" w:rsidTr="007C3213">
        <w:trPr>
          <w:trHeight w:val="297"/>
          <w:jc w:val="center"/>
        </w:trPr>
        <w:tc>
          <w:tcPr>
            <w:tcW w:w="1517" w:type="dxa"/>
            <w:shd w:val="clear" w:color="auto" w:fill="auto"/>
            <w:noWrap/>
            <w:hideMark/>
          </w:tcPr>
          <w:p w:rsidR="00B36A84" w:rsidRPr="00FF68BD" w:rsidRDefault="00B36A84" w:rsidP="007C3213">
            <w:pPr>
              <w:spacing w:line="240" w:lineRule="auto"/>
              <w:rPr>
                <w:color w:val="000000"/>
                <w:sz w:val="20"/>
                <w:szCs w:val="20"/>
                <w:lang w:val="en-US" w:eastAsia="en-US"/>
              </w:rPr>
            </w:pPr>
            <w:r w:rsidRPr="00FF68BD">
              <w:rPr>
                <w:color w:val="000000"/>
                <w:sz w:val="20"/>
                <w:szCs w:val="20"/>
                <w:lang w:val="en-US" w:eastAsia="en-US"/>
              </w:rPr>
              <w:t>Domestic marine*</w:t>
            </w:r>
          </w:p>
        </w:tc>
        <w:tc>
          <w:tcPr>
            <w:tcW w:w="140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781 </w:t>
            </w:r>
          </w:p>
        </w:tc>
        <w:tc>
          <w:tcPr>
            <w:tcW w:w="1163"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1561"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17.5 </w:t>
            </w:r>
          </w:p>
        </w:tc>
        <w:tc>
          <w:tcPr>
            <w:tcW w:w="133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0.0375 </w:t>
            </w:r>
          </w:p>
        </w:tc>
        <w:tc>
          <w:tcPr>
            <w:tcW w:w="1280"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p>
        </w:tc>
        <w:tc>
          <w:tcPr>
            <w:tcW w:w="992"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0.0175 </w:t>
            </w:r>
          </w:p>
        </w:tc>
        <w:tc>
          <w:tcPr>
            <w:tcW w:w="1019" w:type="dxa"/>
            <w:shd w:val="clear" w:color="auto" w:fill="auto"/>
            <w:noWrap/>
            <w:hideMark/>
          </w:tcPr>
          <w:p w:rsidR="00B36A84" w:rsidRPr="00FF68BD" w:rsidRDefault="00B36A84" w:rsidP="007C3213">
            <w:pPr>
              <w:spacing w:line="240" w:lineRule="auto"/>
              <w:jc w:val="right"/>
              <w:rPr>
                <w:color w:val="000000"/>
                <w:sz w:val="20"/>
                <w:szCs w:val="20"/>
                <w:lang w:val="en-US" w:eastAsia="en-US"/>
              </w:rPr>
            </w:pPr>
            <w:r w:rsidRPr="00FF68BD">
              <w:rPr>
                <w:color w:val="000000"/>
                <w:sz w:val="20"/>
                <w:szCs w:val="20"/>
                <w:lang w:val="en-US" w:eastAsia="en-US"/>
              </w:rPr>
              <w:t xml:space="preserve"> 2.4999 </w:t>
            </w:r>
          </w:p>
        </w:tc>
      </w:tr>
    </w:tbl>
    <w:p w:rsidR="00B36A84" w:rsidRDefault="00B36A84" w:rsidP="00B36A84">
      <w:pPr>
        <w:spacing w:after="120" w:line="276" w:lineRule="auto"/>
        <w:rPr>
          <w:bCs/>
          <w:i/>
          <w:sz w:val="20"/>
          <w:szCs w:val="20"/>
          <w:lang w:val="en-US"/>
        </w:rPr>
      </w:pPr>
      <w:r w:rsidRPr="003A4B2A">
        <w:rPr>
          <w:rFonts w:ascii="Calibri" w:hAnsi="Calibri" w:cs="Calibri"/>
          <w:i/>
        </w:rPr>
        <w:t xml:space="preserve">Source: </w:t>
      </w:r>
      <w:r w:rsidRPr="003A4B2A">
        <w:rPr>
          <w:i/>
          <w:sz w:val="20"/>
          <w:szCs w:val="20"/>
          <w:lang w:val="en-US"/>
        </w:rPr>
        <w:t xml:space="preserve">Lwasa, S. (2013). 2012 </w:t>
      </w:r>
      <w:r w:rsidRPr="003A4B2A">
        <w:rPr>
          <w:bCs/>
          <w:i/>
          <w:sz w:val="20"/>
          <w:szCs w:val="20"/>
          <w:lang w:val="en-US"/>
        </w:rPr>
        <w:t>Greenhouse Gas Emissions Inventory for Kampala City and Metropolitan Region, UNEP Habitat.</w:t>
      </w:r>
    </w:p>
    <w:p w:rsidR="00420375" w:rsidRDefault="00420375" w:rsidP="00B36A84">
      <w:pPr>
        <w:spacing w:after="120" w:line="276" w:lineRule="auto"/>
        <w:rPr>
          <w:bCs/>
          <w:i/>
          <w:sz w:val="20"/>
          <w:szCs w:val="20"/>
          <w:lang w:val="en-US"/>
        </w:rPr>
      </w:pPr>
    </w:p>
    <w:p w:rsidR="00420375" w:rsidRDefault="00420375" w:rsidP="00B36A84">
      <w:pPr>
        <w:spacing w:after="120" w:line="276" w:lineRule="auto"/>
        <w:rPr>
          <w:bCs/>
          <w:i/>
          <w:sz w:val="20"/>
          <w:szCs w:val="20"/>
          <w:lang w:val="en-US"/>
        </w:rPr>
      </w:pPr>
    </w:p>
    <w:p w:rsidR="00B36A84" w:rsidRPr="00171B1D" w:rsidRDefault="00B36A84" w:rsidP="00B36A84">
      <w:pPr>
        <w:spacing w:after="120" w:line="276" w:lineRule="auto"/>
        <w:rPr>
          <w:rFonts w:ascii="Calibri" w:hAnsi="Calibri" w:cs="Calibri"/>
          <w:b/>
          <w:sz w:val="22"/>
          <w:szCs w:val="22"/>
        </w:rPr>
      </w:pPr>
      <w:r w:rsidRPr="00171B1D">
        <w:rPr>
          <w:b/>
          <w:bCs/>
          <w:sz w:val="22"/>
          <w:szCs w:val="22"/>
          <w:lang w:val="en-US"/>
        </w:rPr>
        <w:t xml:space="preserve">Table </w:t>
      </w:r>
      <w:r w:rsidR="00420375">
        <w:rPr>
          <w:b/>
          <w:bCs/>
          <w:sz w:val="22"/>
          <w:szCs w:val="22"/>
          <w:lang w:val="en-US"/>
        </w:rPr>
        <w:t>3</w:t>
      </w:r>
      <w:r w:rsidRPr="00171B1D">
        <w:rPr>
          <w:b/>
          <w:bCs/>
          <w:sz w:val="22"/>
          <w:szCs w:val="22"/>
          <w:lang w:val="en-US"/>
        </w:rPr>
        <w:t xml:space="preserve">: Transportation Activity Data for Kampala, 2012 </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847"/>
        <w:gridCol w:w="1659"/>
        <w:gridCol w:w="1766"/>
        <w:gridCol w:w="1671"/>
      </w:tblGrid>
      <w:tr w:rsidR="00B36A84" w:rsidRPr="001702CB" w:rsidTr="007C3213">
        <w:trPr>
          <w:trHeight w:val="261"/>
          <w:jc w:val="center"/>
        </w:trPr>
        <w:tc>
          <w:tcPr>
            <w:tcW w:w="2272" w:type="dxa"/>
            <w:shd w:val="clear" w:color="auto" w:fill="auto"/>
            <w:noWrap/>
            <w:hideMark/>
          </w:tcPr>
          <w:p w:rsidR="00B36A84" w:rsidRPr="003A279C" w:rsidRDefault="00B36A84" w:rsidP="007C3213">
            <w:pPr>
              <w:spacing w:line="240" w:lineRule="auto"/>
              <w:rPr>
                <w:rFonts w:asciiTheme="majorHAnsi" w:hAnsiTheme="majorHAnsi"/>
                <w:b/>
                <w:bCs/>
                <w:color w:val="000000"/>
                <w:sz w:val="22"/>
                <w:szCs w:val="22"/>
                <w:lang w:val="en-US" w:eastAsia="en-US"/>
              </w:rPr>
            </w:pPr>
            <w:r w:rsidRPr="003A279C">
              <w:rPr>
                <w:rFonts w:asciiTheme="majorHAnsi" w:hAnsiTheme="majorHAnsi"/>
                <w:b/>
                <w:bCs/>
                <w:color w:val="000000"/>
                <w:sz w:val="22"/>
                <w:szCs w:val="22"/>
                <w:lang w:val="en-US" w:eastAsia="en-US"/>
              </w:rPr>
              <w:t>Activity data</w:t>
            </w:r>
          </w:p>
        </w:tc>
        <w:tc>
          <w:tcPr>
            <w:tcW w:w="1963"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p>
        </w:tc>
        <w:tc>
          <w:tcPr>
            <w:tcW w:w="176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p>
        </w:tc>
        <w:tc>
          <w:tcPr>
            <w:tcW w:w="1877"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p>
        </w:tc>
        <w:tc>
          <w:tcPr>
            <w:tcW w:w="1775"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p>
        </w:tc>
        <w:tc>
          <w:tcPr>
            <w:tcW w:w="1963" w:type="dxa"/>
            <w:shd w:val="clear" w:color="auto" w:fill="auto"/>
            <w:noWrap/>
            <w:hideMark/>
          </w:tcPr>
          <w:p w:rsidR="00B36A84" w:rsidRPr="001702CB" w:rsidRDefault="00B36A84" w:rsidP="007C3213">
            <w:pPr>
              <w:spacing w:line="240" w:lineRule="auto"/>
              <w:rPr>
                <w:rFonts w:ascii="Calibri" w:hAnsi="Calibri"/>
                <w:b/>
                <w:color w:val="000000"/>
                <w:sz w:val="22"/>
                <w:szCs w:val="22"/>
                <w:lang w:val="en-US" w:eastAsia="en-US"/>
              </w:rPr>
            </w:pPr>
            <w:r w:rsidRPr="001702CB">
              <w:rPr>
                <w:rFonts w:ascii="Calibri" w:hAnsi="Calibri"/>
                <w:b/>
                <w:color w:val="000000"/>
                <w:sz w:val="22"/>
                <w:szCs w:val="22"/>
                <w:lang w:val="en-US" w:eastAsia="en-US"/>
              </w:rPr>
              <w:t>Number/quantity</w:t>
            </w:r>
          </w:p>
        </w:tc>
        <w:tc>
          <w:tcPr>
            <w:tcW w:w="1762" w:type="dxa"/>
            <w:shd w:val="clear" w:color="auto" w:fill="auto"/>
            <w:noWrap/>
            <w:hideMark/>
          </w:tcPr>
          <w:p w:rsidR="00B36A84" w:rsidRPr="001702CB" w:rsidRDefault="00B36A84" w:rsidP="007C3213">
            <w:pPr>
              <w:spacing w:line="240" w:lineRule="auto"/>
              <w:rPr>
                <w:rFonts w:ascii="Calibri" w:hAnsi="Calibri"/>
                <w:b/>
                <w:color w:val="000000"/>
                <w:sz w:val="22"/>
                <w:szCs w:val="22"/>
                <w:lang w:val="en-US" w:eastAsia="en-US"/>
              </w:rPr>
            </w:pPr>
            <w:r w:rsidRPr="001702CB">
              <w:rPr>
                <w:rFonts w:ascii="Calibri" w:hAnsi="Calibri"/>
                <w:b/>
                <w:color w:val="000000"/>
                <w:sz w:val="22"/>
                <w:szCs w:val="22"/>
                <w:lang w:val="en-US" w:eastAsia="en-US"/>
              </w:rPr>
              <w:t>Total Km per year</w:t>
            </w:r>
          </w:p>
        </w:tc>
        <w:tc>
          <w:tcPr>
            <w:tcW w:w="1877" w:type="dxa"/>
            <w:shd w:val="clear" w:color="auto" w:fill="auto"/>
            <w:noWrap/>
            <w:hideMark/>
          </w:tcPr>
          <w:p w:rsidR="00B36A84" w:rsidRPr="001702CB" w:rsidRDefault="00B36A84" w:rsidP="007C3213">
            <w:pPr>
              <w:spacing w:line="240" w:lineRule="auto"/>
              <w:rPr>
                <w:rFonts w:ascii="Calibri" w:hAnsi="Calibri"/>
                <w:b/>
                <w:color w:val="000000"/>
                <w:sz w:val="22"/>
                <w:szCs w:val="22"/>
                <w:lang w:val="en-US" w:eastAsia="en-US"/>
              </w:rPr>
            </w:pPr>
            <w:r w:rsidRPr="001702CB">
              <w:rPr>
                <w:rFonts w:ascii="Calibri" w:hAnsi="Calibri"/>
                <w:b/>
                <w:color w:val="000000"/>
                <w:sz w:val="22"/>
                <w:szCs w:val="22"/>
                <w:lang w:val="en-US" w:eastAsia="en-US"/>
              </w:rPr>
              <w:t>Average Fuel Use per km</w:t>
            </w:r>
          </w:p>
        </w:tc>
        <w:tc>
          <w:tcPr>
            <w:tcW w:w="1775" w:type="dxa"/>
            <w:shd w:val="clear" w:color="auto" w:fill="auto"/>
            <w:noWrap/>
            <w:hideMark/>
          </w:tcPr>
          <w:p w:rsidR="00B36A84" w:rsidRPr="001702CB" w:rsidRDefault="00B36A84" w:rsidP="007C3213">
            <w:pPr>
              <w:spacing w:line="240" w:lineRule="auto"/>
              <w:rPr>
                <w:rFonts w:ascii="Calibri" w:hAnsi="Calibri"/>
                <w:b/>
                <w:bCs/>
                <w:color w:val="000000"/>
                <w:sz w:val="22"/>
                <w:szCs w:val="22"/>
                <w:lang w:val="en-US" w:eastAsia="en-US"/>
              </w:rPr>
            </w:pPr>
            <w:r w:rsidRPr="001702CB">
              <w:rPr>
                <w:rFonts w:ascii="Calibri" w:hAnsi="Calibri"/>
                <w:b/>
                <w:bCs/>
                <w:color w:val="000000"/>
                <w:sz w:val="22"/>
                <w:szCs w:val="22"/>
                <w:lang w:val="en-US" w:eastAsia="en-US"/>
              </w:rPr>
              <w:t>Total fuel used</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Bodabodas</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10000</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13,156,000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0.434782609</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5,720,000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Buses</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157</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1,378,491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0.7 </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898,040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Private cars</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90000</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198,198,000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0.649350649</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128,700,000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Others in Kampala</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89402</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371,912,320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0.684931507</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254,734,466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Buses to up country</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340</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2,068,560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0.651465798</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1,347,596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Taxis</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4500</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7,534,800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0.985915493</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7,428,676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Ferries</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2</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3,349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0.890410959</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2,982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Flights in and out estimate miles of Kampala's longest length</w:t>
            </w:r>
          </w:p>
        </w:tc>
        <w:tc>
          <w:tcPr>
            <w:tcW w:w="1963"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24506</w:t>
            </w:r>
          </w:p>
        </w:tc>
        <w:tc>
          <w:tcPr>
            <w:tcW w:w="1762"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356,807,360 </w:t>
            </w:r>
          </w:p>
        </w:tc>
        <w:tc>
          <w:tcPr>
            <w:tcW w:w="1877"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12</w:t>
            </w:r>
          </w:p>
        </w:tc>
        <w:tc>
          <w:tcPr>
            <w:tcW w:w="1775" w:type="dxa"/>
            <w:shd w:val="clear" w:color="auto" w:fill="auto"/>
            <w:noWrap/>
            <w:hideMark/>
          </w:tcPr>
          <w:p w:rsidR="00B36A84" w:rsidRPr="001702CB" w:rsidRDefault="00B36A84" w:rsidP="007C3213">
            <w:pPr>
              <w:spacing w:line="240" w:lineRule="auto"/>
              <w:jc w:val="right"/>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4,281,688,320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Railways in boundary</w:t>
            </w:r>
          </w:p>
        </w:tc>
        <w:tc>
          <w:tcPr>
            <w:tcW w:w="1963"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250000</w:t>
            </w:r>
          </w:p>
        </w:tc>
        <w:tc>
          <w:tcPr>
            <w:tcW w:w="176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420.8754209</w:t>
            </w:r>
          </w:p>
        </w:tc>
        <w:tc>
          <w:tcPr>
            <w:tcW w:w="1877"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0.545454545</w:t>
            </w:r>
          </w:p>
        </w:tc>
        <w:tc>
          <w:tcPr>
            <w:tcW w:w="1775"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230 </w:t>
            </w:r>
          </w:p>
        </w:tc>
      </w:tr>
      <w:tr w:rsidR="00B36A84" w:rsidRPr="001702CB" w:rsidTr="007C3213">
        <w:trPr>
          <w:trHeight w:val="261"/>
          <w:jc w:val="center"/>
        </w:trPr>
        <w:tc>
          <w:tcPr>
            <w:tcW w:w="227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Railways Out boundary</w:t>
            </w:r>
          </w:p>
        </w:tc>
        <w:tc>
          <w:tcPr>
            <w:tcW w:w="1963"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250000</w:t>
            </w:r>
          </w:p>
        </w:tc>
        <w:tc>
          <w:tcPr>
            <w:tcW w:w="1762"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248.015873</w:t>
            </w:r>
          </w:p>
        </w:tc>
        <w:tc>
          <w:tcPr>
            <w:tcW w:w="1877"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0.545454545</w:t>
            </w:r>
          </w:p>
        </w:tc>
        <w:tc>
          <w:tcPr>
            <w:tcW w:w="1775" w:type="dxa"/>
            <w:shd w:val="clear" w:color="auto" w:fill="auto"/>
            <w:noWrap/>
            <w:hideMark/>
          </w:tcPr>
          <w:p w:rsidR="00B36A84" w:rsidRPr="001702CB" w:rsidRDefault="00B36A84" w:rsidP="007C3213">
            <w:pPr>
              <w:spacing w:line="240" w:lineRule="auto"/>
              <w:rPr>
                <w:rFonts w:ascii="Calibri" w:hAnsi="Calibri"/>
                <w:color w:val="000000"/>
                <w:sz w:val="22"/>
                <w:szCs w:val="22"/>
                <w:lang w:val="en-US" w:eastAsia="en-US"/>
              </w:rPr>
            </w:pPr>
            <w:r w:rsidRPr="001702CB">
              <w:rPr>
                <w:rFonts w:ascii="Calibri" w:hAnsi="Calibri"/>
                <w:color w:val="000000"/>
                <w:sz w:val="22"/>
                <w:szCs w:val="22"/>
                <w:lang w:val="en-US" w:eastAsia="en-US"/>
              </w:rPr>
              <w:t xml:space="preserve"> 135 </w:t>
            </w:r>
          </w:p>
        </w:tc>
      </w:tr>
    </w:tbl>
    <w:p w:rsidR="00B36A84" w:rsidRDefault="00B36A84" w:rsidP="00B36A84">
      <w:pPr>
        <w:spacing w:after="120" w:line="276" w:lineRule="auto"/>
        <w:rPr>
          <w:bCs/>
          <w:i/>
          <w:sz w:val="20"/>
          <w:szCs w:val="20"/>
          <w:lang w:val="en-US"/>
        </w:rPr>
      </w:pPr>
      <w:r w:rsidRPr="008C037E">
        <w:rPr>
          <w:rFonts w:cs="Arial"/>
          <w:i/>
          <w:sz w:val="22"/>
          <w:szCs w:val="22"/>
        </w:rPr>
        <w:t xml:space="preserve">Source: </w:t>
      </w:r>
      <w:r w:rsidRPr="003A4B2A">
        <w:rPr>
          <w:i/>
          <w:sz w:val="20"/>
          <w:szCs w:val="20"/>
          <w:lang w:val="en-US"/>
        </w:rPr>
        <w:t xml:space="preserve">Lwasa, S. (2013). 2012 </w:t>
      </w:r>
      <w:r w:rsidRPr="003A4B2A">
        <w:rPr>
          <w:bCs/>
          <w:i/>
          <w:sz w:val="20"/>
          <w:szCs w:val="20"/>
          <w:lang w:val="en-US"/>
        </w:rPr>
        <w:t>Greenhouse Gas Emissions Inventory for Kampala City and Metropolitan Region, UNEP Habitat.</w:t>
      </w:r>
    </w:p>
    <w:p w:rsidR="00A67620" w:rsidRDefault="00A67620" w:rsidP="00A67620">
      <w:pPr>
        <w:spacing w:before="120" w:after="120" w:line="276" w:lineRule="auto"/>
        <w:rPr>
          <w:rFonts w:cs="Arial"/>
          <w:b/>
        </w:rPr>
      </w:pPr>
      <w:r w:rsidRPr="00FF68BD">
        <w:rPr>
          <w:rFonts w:cs="Arial"/>
          <w:b/>
        </w:rPr>
        <w:t>How the NAMA is transformational</w:t>
      </w:r>
      <w:r w:rsidRPr="00FF68BD">
        <w:rPr>
          <w:rFonts w:cs="Arial"/>
        </w:rPr>
        <w:t>: This NAMA has potential to transform the public transportation systems in cities of Uganda through operational efficiency. Public transportation is not only costly but also inefficient in regard to time of travel and cost associated with maintenance of vehicles. Park and ride facilities would create incentives for private car users to shorten trips which would involve use of private cars and this can reduce emissions from the private modes of travel. Besides these aspects, the transformational nature of this NAMA would also relate to increased ridership and use of public transport if in operational efficiency, the costs are modest to enable urban circulation with ease of access and time of travel. Park and ride facilities would spur property development and create employment for managing the park facilities since riders would park for long hours. This can also take some cars of the city streets and reduce costs of maintenance. This NAMA is important in Uganda as urbanization increases and more towns and urban centres are growing. Implementing this NAMA will be a platform for subsequent rollout to other city regions developing in the country extending it beyond Kampala city and making it nationally relevant and important for efficient public transportation</w:t>
      </w:r>
      <w:r w:rsidRPr="00FF68BD">
        <w:rPr>
          <w:rFonts w:cs="Arial"/>
          <w:b/>
        </w:rPr>
        <w:t>.</w:t>
      </w:r>
    </w:p>
    <w:p w:rsidR="00B36A84" w:rsidRDefault="00B36A84" w:rsidP="00A67620">
      <w:pPr>
        <w:spacing w:before="120" w:after="120" w:line="276" w:lineRule="auto"/>
        <w:rPr>
          <w:rFonts w:cs="Arial"/>
          <w:b/>
        </w:rPr>
      </w:pPr>
    </w:p>
    <w:p w:rsidR="00A67620" w:rsidRPr="00FF68BD" w:rsidRDefault="00A67620" w:rsidP="00A67620">
      <w:pPr>
        <w:spacing w:after="120" w:line="276" w:lineRule="auto"/>
        <w:rPr>
          <w:rFonts w:cs="Arial"/>
        </w:rPr>
      </w:pPr>
      <w:r w:rsidRPr="00FF68BD">
        <w:rPr>
          <w:rFonts w:cs="Arial"/>
          <w:b/>
        </w:rPr>
        <w:t>Co-benefits of the NAMA</w:t>
      </w:r>
    </w:p>
    <w:p w:rsidR="00A67620" w:rsidRDefault="00A67620" w:rsidP="00A67620">
      <w:pPr>
        <w:spacing w:before="120" w:after="120" w:line="276" w:lineRule="auto"/>
        <w:rPr>
          <w:rFonts w:cs="Arial"/>
        </w:rPr>
      </w:pPr>
      <w:r w:rsidRPr="00FF68BD">
        <w:rPr>
          <w:rFonts w:cs="Arial"/>
        </w:rPr>
        <w:t xml:space="preserve">The NAMA will result in significant co-benefits, categorized below using the three pillars of sustainable development: economic, social and environmental impacts. Co-benefits will be accounted for using a qualitative assessment, with a full proposal examining what statistics are readily available to measure and monitor sustainable development impacts. </w:t>
      </w:r>
    </w:p>
    <w:p w:rsidR="00420375" w:rsidRPr="00FF68BD" w:rsidRDefault="00420375" w:rsidP="00A67620">
      <w:pPr>
        <w:spacing w:before="120" w:after="120" w:line="276" w:lineRule="auto"/>
        <w:rPr>
          <w:rFonts w:cs="Arial"/>
        </w:rPr>
      </w:pPr>
    </w:p>
    <w:p w:rsidR="00A67620" w:rsidRPr="00FF68BD" w:rsidRDefault="00A67620" w:rsidP="00A67620">
      <w:pPr>
        <w:spacing w:before="120" w:after="120" w:line="276" w:lineRule="auto"/>
        <w:rPr>
          <w:rFonts w:cs="Arial"/>
          <w:b/>
          <w:i/>
        </w:rPr>
      </w:pPr>
      <w:r w:rsidRPr="00FF68BD">
        <w:rPr>
          <w:rFonts w:cs="Arial"/>
          <w:b/>
          <w:i/>
        </w:rPr>
        <w:t xml:space="preserve">Economic </w:t>
      </w:r>
    </w:p>
    <w:p w:rsidR="00A67620" w:rsidRPr="00FF68BD" w:rsidRDefault="00A67620" w:rsidP="00FF68BD">
      <w:pPr>
        <w:pStyle w:val="ListParagraph"/>
        <w:numPr>
          <w:ilvl w:val="0"/>
          <w:numId w:val="12"/>
        </w:numPr>
        <w:rPr>
          <w:sz w:val="24"/>
          <w:szCs w:val="24"/>
        </w:rPr>
      </w:pPr>
      <w:r w:rsidRPr="00FF68BD">
        <w:rPr>
          <w:sz w:val="24"/>
          <w:szCs w:val="24"/>
        </w:rPr>
        <w:t xml:space="preserve">Employment creation – for those employed in the new BRT system. Job losses may result in other transportation modes </w:t>
      </w:r>
      <w:r w:rsidRPr="00FF68BD">
        <w:rPr>
          <w:iCs/>
          <w:sz w:val="24"/>
          <w:szCs w:val="24"/>
        </w:rPr>
        <w:t>as passengers switch to BRT, although they may be absorbed in the BRT system with additional training.</w:t>
      </w:r>
    </w:p>
    <w:p w:rsidR="00A67620" w:rsidRPr="00FF68BD" w:rsidRDefault="00A67620" w:rsidP="00FF68BD">
      <w:pPr>
        <w:pStyle w:val="ListParagraph"/>
        <w:numPr>
          <w:ilvl w:val="0"/>
          <w:numId w:val="12"/>
        </w:numPr>
        <w:rPr>
          <w:sz w:val="24"/>
          <w:szCs w:val="24"/>
        </w:rPr>
      </w:pPr>
      <w:r w:rsidRPr="00FF68BD">
        <w:rPr>
          <w:sz w:val="24"/>
          <w:szCs w:val="24"/>
        </w:rPr>
        <w:t>Improvement of the local business environment.</w:t>
      </w:r>
    </w:p>
    <w:p w:rsidR="00A67620" w:rsidRPr="00FF68BD" w:rsidRDefault="00A67620" w:rsidP="00FF68BD">
      <w:pPr>
        <w:pStyle w:val="ListParagraph"/>
        <w:numPr>
          <w:ilvl w:val="0"/>
          <w:numId w:val="12"/>
        </w:numPr>
        <w:rPr>
          <w:sz w:val="24"/>
          <w:szCs w:val="24"/>
        </w:rPr>
      </w:pPr>
      <w:r w:rsidRPr="00FF68BD">
        <w:rPr>
          <w:sz w:val="24"/>
          <w:szCs w:val="24"/>
        </w:rPr>
        <w:t>Improved energy security – through an efficient transport system that meets demand, but consumes as little energy as possible.</w:t>
      </w:r>
    </w:p>
    <w:p w:rsidR="00A67620" w:rsidRPr="00FF68BD" w:rsidRDefault="00A67620" w:rsidP="00A67620">
      <w:pPr>
        <w:spacing w:before="120" w:after="120" w:line="276" w:lineRule="auto"/>
        <w:rPr>
          <w:rFonts w:cs="Arial"/>
          <w:b/>
          <w:i/>
        </w:rPr>
      </w:pPr>
      <w:r w:rsidRPr="00FF68BD">
        <w:rPr>
          <w:rFonts w:cs="Arial"/>
          <w:b/>
          <w:i/>
        </w:rPr>
        <w:t>Social</w:t>
      </w:r>
    </w:p>
    <w:p w:rsidR="00A67620" w:rsidRPr="00FF68BD" w:rsidRDefault="00A67620" w:rsidP="00FF68BD">
      <w:pPr>
        <w:pStyle w:val="ListParagraph"/>
        <w:numPr>
          <w:ilvl w:val="0"/>
          <w:numId w:val="13"/>
        </w:numPr>
        <w:rPr>
          <w:sz w:val="24"/>
          <w:szCs w:val="24"/>
        </w:rPr>
      </w:pPr>
      <w:r w:rsidRPr="00FF68BD">
        <w:rPr>
          <w:sz w:val="24"/>
          <w:szCs w:val="24"/>
        </w:rPr>
        <w:t xml:space="preserve">Improved mobility through more inclusive urban transport - if the costs are low enough to enable more people access transport services. </w:t>
      </w:r>
    </w:p>
    <w:p w:rsidR="00A67620" w:rsidRPr="00FF68BD" w:rsidRDefault="00A67620" w:rsidP="00FF68BD">
      <w:pPr>
        <w:pStyle w:val="ListParagraph"/>
        <w:numPr>
          <w:ilvl w:val="0"/>
          <w:numId w:val="13"/>
        </w:numPr>
        <w:rPr>
          <w:sz w:val="24"/>
          <w:szCs w:val="24"/>
        </w:rPr>
      </w:pPr>
      <w:r w:rsidRPr="00FF68BD">
        <w:rPr>
          <w:sz w:val="24"/>
          <w:szCs w:val="24"/>
        </w:rPr>
        <w:t>Less time spent on travel.</w:t>
      </w:r>
    </w:p>
    <w:p w:rsidR="00A67620" w:rsidRPr="00FF68BD" w:rsidRDefault="00A67620" w:rsidP="00FF68BD">
      <w:pPr>
        <w:pStyle w:val="ListParagraph"/>
        <w:numPr>
          <w:ilvl w:val="0"/>
          <w:numId w:val="13"/>
        </w:numPr>
        <w:rPr>
          <w:sz w:val="24"/>
          <w:szCs w:val="24"/>
        </w:rPr>
      </w:pPr>
      <w:r w:rsidRPr="00FF68BD">
        <w:rPr>
          <w:sz w:val="24"/>
          <w:szCs w:val="24"/>
        </w:rPr>
        <w:t>Increased safety and reliability of travel.</w:t>
      </w:r>
    </w:p>
    <w:p w:rsidR="00A67620" w:rsidRPr="00FF68BD" w:rsidRDefault="00A67620" w:rsidP="00FF68BD">
      <w:pPr>
        <w:pStyle w:val="ListParagraph"/>
        <w:numPr>
          <w:ilvl w:val="0"/>
          <w:numId w:val="13"/>
        </w:numPr>
        <w:rPr>
          <w:sz w:val="24"/>
          <w:szCs w:val="24"/>
        </w:rPr>
      </w:pPr>
      <w:r w:rsidRPr="00FF68BD">
        <w:rPr>
          <w:sz w:val="24"/>
          <w:szCs w:val="24"/>
        </w:rPr>
        <w:t xml:space="preserve">Integrated urban activities linked to an efficient public transport. </w:t>
      </w:r>
    </w:p>
    <w:p w:rsidR="00A67620" w:rsidRPr="00FF68BD" w:rsidRDefault="00A67620" w:rsidP="00FF68BD">
      <w:pPr>
        <w:pStyle w:val="ListParagraph"/>
        <w:numPr>
          <w:ilvl w:val="0"/>
          <w:numId w:val="13"/>
        </w:numPr>
        <w:rPr>
          <w:sz w:val="24"/>
          <w:szCs w:val="24"/>
        </w:rPr>
      </w:pPr>
      <w:r w:rsidRPr="00FF68BD">
        <w:rPr>
          <w:sz w:val="24"/>
          <w:szCs w:val="24"/>
        </w:rPr>
        <w:t xml:space="preserve">Improved health – reduction in number of cases of respiratory diseases. </w:t>
      </w:r>
    </w:p>
    <w:p w:rsidR="00A67620" w:rsidRPr="00FF68BD" w:rsidRDefault="00A67620" w:rsidP="00A67620">
      <w:pPr>
        <w:spacing w:before="120" w:after="120" w:line="276" w:lineRule="auto"/>
        <w:rPr>
          <w:rFonts w:cs="Arial"/>
          <w:b/>
          <w:i/>
        </w:rPr>
      </w:pPr>
      <w:r w:rsidRPr="00FF68BD">
        <w:rPr>
          <w:rFonts w:cs="Arial"/>
          <w:b/>
          <w:i/>
        </w:rPr>
        <w:t>Environmental</w:t>
      </w:r>
    </w:p>
    <w:p w:rsidR="00A67620" w:rsidRPr="00FF68BD" w:rsidRDefault="00A67620" w:rsidP="00A67620">
      <w:pPr>
        <w:numPr>
          <w:ilvl w:val="0"/>
          <w:numId w:val="8"/>
        </w:numPr>
        <w:spacing w:before="120" w:line="276" w:lineRule="auto"/>
        <w:ind w:left="714" w:hanging="357"/>
        <w:rPr>
          <w:rFonts w:cs="Arial"/>
        </w:rPr>
      </w:pPr>
      <w:r w:rsidRPr="00FF68BD">
        <w:rPr>
          <w:rFonts w:cs="Arial"/>
        </w:rPr>
        <w:t>Improved local air quality – reduced transport-related emissions (such as nitrogen dioxide, sulphur dioxide, carbon monoxide and particulate matter). It is important to measure these improvements, which reinforces the need for a monitoring system.</w:t>
      </w:r>
    </w:p>
    <w:p w:rsidR="00A67620" w:rsidRPr="008C037E" w:rsidRDefault="00A67620" w:rsidP="00A67620">
      <w:pPr>
        <w:spacing w:line="276" w:lineRule="auto"/>
        <w:rPr>
          <w:rFonts w:cs="Arial"/>
          <w:iCs/>
          <w:sz w:val="22"/>
          <w:szCs w:val="22"/>
        </w:rPr>
      </w:pPr>
    </w:p>
    <w:p w:rsidR="00A67620" w:rsidRPr="00932BC7" w:rsidRDefault="00A67620" w:rsidP="00A67620">
      <w:pPr>
        <w:spacing w:after="120" w:line="276" w:lineRule="auto"/>
        <w:rPr>
          <w:rFonts w:cs="Arial"/>
        </w:rPr>
      </w:pPr>
      <w:r w:rsidRPr="00932BC7">
        <w:rPr>
          <w:rFonts w:cs="Arial"/>
          <w:b/>
        </w:rPr>
        <w:t xml:space="preserve">Measuring, Reporting and Verification </w:t>
      </w:r>
    </w:p>
    <w:p w:rsidR="00A67620" w:rsidRPr="00932BC7" w:rsidRDefault="00A67620" w:rsidP="00A67620">
      <w:pPr>
        <w:spacing w:before="120" w:after="120" w:line="276" w:lineRule="auto"/>
        <w:rPr>
          <w:rFonts w:cs="Arial"/>
        </w:rPr>
      </w:pPr>
      <w:r w:rsidRPr="00932BC7">
        <w:rPr>
          <w:rFonts w:cs="Arial"/>
        </w:rPr>
        <w:t>The MRV of this NAMA is conceptualised around the passenger demand as well as energy used by the buses. As part of the operational efficiency, passenger data collected on ridership is easy to monitor through the ticketing and automatic systems for check out. The emissions reduction is based on passenger ridership and thus the key monitoring variable is passenger ridership monitored on daily basis. The other is any switch and or shift in energy used by the buses. The company operating the BRT can be responsible for reporting to the lead agency, which will verify the data before reporting summaries on annual basis.</w:t>
      </w:r>
    </w:p>
    <w:p w:rsidR="00A67620" w:rsidRDefault="00A67620" w:rsidP="00A67620">
      <w:pPr>
        <w:widowControl w:val="0"/>
        <w:autoSpaceDE w:val="0"/>
        <w:autoSpaceDN w:val="0"/>
        <w:adjustRightInd w:val="0"/>
        <w:spacing w:before="120" w:line="276" w:lineRule="auto"/>
        <w:rPr>
          <w:rFonts w:eastAsia="Calibri" w:cs="Arial"/>
          <w:color w:val="131313"/>
          <w:lang w:val="en-US" w:eastAsia="en-US"/>
        </w:rPr>
      </w:pPr>
      <w:r w:rsidRPr="00932BC7">
        <w:rPr>
          <w:rFonts w:eastAsia="Calibri" w:cs="Arial"/>
          <w:color w:val="131313"/>
          <w:lang w:val="en-US" w:eastAsia="en-US"/>
        </w:rPr>
        <w:t>The data and analysis to undertake MRV will be gathered in the initial phase of the project because there is no existing baseline data. The objectives and information requiremen</w:t>
      </w:r>
      <w:r w:rsidR="00420375">
        <w:rPr>
          <w:rFonts w:eastAsia="Calibri" w:cs="Arial"/>
          <w:color w:val="131313"/>
          <w:lang w:val="en-US" w:eastAsia="en-US"/>
        </w:rPr>
        <w:t>ts for MRV are included in the T</w:t>
      </w:r>
      <w:r w:rsidRPr="00932BC7">
        <w:rPr>
          <w:rFonts w:eastAsia="Calibri" w:cs="Arial"/>
          <w:color w:val="131313"/>
          <w:lang w:val="en-US" w:eastAsia="en-US"/>
        </w:rPr>
        <w:t xml:space="preserve">able </w:t>
      </w:r>
      <w:r w:rsidR="00420375">
        <w:rPr>
          <w:rFonts w:eastAsia="Calibri" w:cs="Arial"/>
          <w:color w:val="131313"/>
          <w:lang w:val="en-US" w:eastAsia="en-US"/>
        </w:rPr>
        <w:t xml:space="preserve">4 </w:t>
      </w:r>
      <w:r w:rsidRPr="00932BC7">
        <w:rPr>
          <w:rFonts w:eastAsia="Calibri" w:cs="Arial"/>
          <w:color w:val="131313"/>
          <w:lang w:val="en-US" w:eastAsia="en-US"/>
        </w:rPr>
        <w:t>below.</w:t>
      </w:r>
    </w:p>
    <w:p w:rsidR="00A67620" w:rsidRPr="00932BC7" w:rsidRDefault="00A67620" w:rsidP="00A67620">
      <w:pPr>
        <w:widowControl w:val="0"/>
        <w:autoSpaceDE w:val="0"/>
        <w:autoSpaceDN w:val="0"/>
        <w:adjustRightInd w:val="0"/>
        <w:spacing w:line="276" w:lineRule="auto"/>
        <w:rPr>
          <w:rFonts w:eastAsia="Calibri" w:cs="Arial"/>
          <w:color w:val="131313"/>
          <w:lang w:val="en-US" w:eastAsia="en-US"/>
        </w:rPr>
      </w:pPr>
      <w:r w:rsidRPr="00932BC7">
        <w:rPr>
          <w:rFonts w:eastAsia="Calibri" w:cs="Arial"/>
          <w:color w:val="131313"/>
          <w:lang w:val="en-US" w:eastAsia="en-US"/>
        </w:rPr>
        <w:t>The information requirements include:</w:t>
      </w:r>
    </w:p>
    <w:p w:rsidR="00A67620" w:rsidRPr="00932BC7" w:rsidRDefault="00A67620" w:rsidP="00932BC7">
      <w:pPr>
        <w:pStyle w:val="ListParagraph"/>
        <w:numPr>
          <w:ilvl w:val="0"/>
          <w:numId w:val="8"/>
        </w:numPr>
        <w:rPr>
          <w:rFonts w:eastAsiaTheme="minorEastAsia"/>
          <w:sz w:val="24"/>
          <w:szCs w:val="24"/>
          <w:lang w:val="en-US"/>
        </w:rPr>
      </w:pPr>
      <w:r w:rsidRPr="00932BC7">
        <w:rPr>
          <w:rFonts w:eastAsiaTheme="minorEastAsia"/>
          <w:sz w:val="24"/>
          <w:szCs w:val="24"/>
          <w:lang w:val="en-US"/>
        </w:rPr>
        <w:t>Data on emissions per vehicle, which can be approached from: (i) daily fuel consumption of each vehicle and its emission factor; or (ii) daily distance traveled by each vehicle and its emission factor.</w:t>
      </w:r>
    </w:p>
    <w:p w:rsidR="00A67620" w:rsidRPr="00932BC7" w:rsidRDefault="00A67620" w:rsidP="00932BC7">
      <w:pPr>
        <w:pStyle w:val="ListParagraph"/>
        <w:numPr>
          <w:ilvl w:val="0"/>
          <w:numId w:val="8"/>
        </w:numPr>
        <w:rPr>
          <w:rFonts w:eastAsiaTheme="minorEastAsia"/>
          <w:sz w:val="24"/>
          <w:szCs w:val="24"/>
          <w:lang w:val="en-US"/>
        </w:rPr>
      </w:pPr>
      <w:r w:rsidRPr="00932BC7">
        <w:rPr>
          <w:rFonts w:eastAsiaTheme="minorEastAsia"/>
          <w:sz w:val="24"/>
          <w:szCs w:val="24"/>
          <w:lang w:val="en-US"/>
        </w:rPr>
        <w:t>Data on daily shifted passengers and their previous transport mode.</w:t>
      </w:r>
    </w:p>
    <w:p w:rsidR="00A67620" w:rsidRPr="00932BC7" w:rsidRDefault="00A67620" w:rsidP="00932BC7">
      <w:pPr>
        <w:pStyle w:val="ListParagraph"/>
        <w:numPr>
          <w:ilvl w:val="0"/>
          <w:numId w:val="8"/>
        </w:numPr>
        <w:rPr>
          <w:rFonts w:eastAsiaTheme="minorEastAsia"/>
          <w:sz w:val="24"/>
          <w:szCs w:val="24"/>
          <w:lang w:val="en-US"/>
        </w:rPr>
      </w:pPr>
      <w:r w:rsidRPr="00932BC7">
        <w:rPr>
          <w:rFonts w:eastAsiaTheme="minorEastAsia"/>
          <w:sz w:val="24"/>
          <w:szCs w:val="24"/>
          <w:lang w:val="en-US"/>
        </w:rPr>
        <w:t>Data on daily BRT fuel consumption.</w:t>
      </w:r>
    </w:p>
    <w:p w:rsidR="00A67620" w:rsidRPr="00932BC7" w:rsidRDefault="00A67620" w:rsidP="00932BC7">
      <w:pPr>
        <w:pStyle w:val="ListParagraph"/>
        <w:numPr>
          <w:ilvl w:val="0"/>
          <w:numId w:val="8"/>
        </w:numPr>
        <w:rPr>
          <w:rFonts w:eastAsiaTheme="minorEastAsia"/>
          <w:sz w:val="24"/>
          <w:szCs w:val="24"/>
          <w:lang w:val="en-US"/>
        </w:rPr>
      </w:pPr>
      <w:r w:rsidRPr="00932BC7">
        <w:rPr>
          <w:rFonts w:eastAsiaTheme="minorEastAsia"/>
          <w:sz w:val="24"/>
          <w:szCs w:val="24"/>
          <w:lang w:val="en-US"/>
        </w:rPr>
        <w:lastRenderedPageBreak/>
        <w:t>Emissions factor for vehicle category and fuel type taking into account the specific conditions in Kampala, including congestion.</w:t>
      </w:r>
    </w:p>
    <w:p w:rsidR="00A67620" w:rsidRPr="00932BC7" w:rsidRDefault="00A67620" w:rsidP="00A67620">
      <w:pPr>
        <w:widowControl w:val="0"/>
        <w:autoSpaceDE w:val="0"/>
        <w:autoSpaceDN w:val="0"/>
        <w:adjustRightInd w:val="0"/>
        <w:spacing w:before="120" w:line="276" w:lineRule="auto"/>
        <w:rPr>
          <w:rFonts w:eastAsia="Calibri" w:cs="Arial"/>
          <w:color w:val="131313"/>
          <w:lang w:val="en-US" w:eastAsia="en-US"/>
        </w:rPr>
      </w:pPr>
      <w:r w:rsidRPr="00932BC7">
        <w:rPr>
          <w:rFonts w:eastAsia="Calibri" w:cs="Arial"/>
          <w:color w:val="131313"/>
          <w:lang w:val="en-US" w:eastAsia="en-US"/>
        </w:rPr>
        <w:t>The reduction in GHG emissions due to the NAMA would be determined by using a CO</w:t>
      </w:r>
      <w:r w:rsidRPr="00932BC7">
        <w:rPr>
          <w:rFonts w:eastAsia="Calibri" w:cs="Arial"/>
          <w:color w:val="131313"/>
          <w:vertAlign w:val="subscript"/>
          <w:lang w:val="en-US" w:eastAsia="en-US"/>
        </w:rPr>
        <w:t>2</w:t>
      </w:r>
      <w:r w:rsidRPr="00932BC7">
        <w:rPr>
          <w:rFonts w:eastAsia="Calibri" w:cs="Arial"/>
          <w:color w:val="131313"/>
          <w:lang w:val="en-US" w:eastAsia="en-US"/>
        </w:rPr>
        <w:t>e emission factor for transport fuels; applying default values from Chapter 2 of Volume 2, 2006 IPCC Guidelines for Greenhouse Gas Inventories to calculate the CO</w:t>
      </w:r>
      <w:r w:rsidRPr="00932BC7">
        <w:rPr>
          <w:rFonts w:eastAsia="Calibri" w:cs="Arial"/>
          <w:color w:val="131313"/>
          <w:vertAlign w:val="subscript"/>
          <w:lang w:val="en-US" w:eastAsia="en-US"/>
        </w:rPr>
        <w:t>2</w:t>
      </w:r>
      <w:r w:rsidRPr="00932BC7">
        <w:rPr>
          <w:rFonts w:eastAsia="Calibri" w:cs="Arial"/>
          <w:color w:val="131313"/>
          <w:lang w:val="en-US" w:eastAsia="en-US"/>
        </w:rPr>
        <w:t xml:space="preserve"> equivalent emissions from CO</w:t>
      </w:r>
      <w:r w:rsidRPr="00932BC7">
        <w:rPr>
          <w:rFonts w:eastAsia="Calibri" w:cs="Arial"/>
          <w:color w:val="131313"/>
          <w:vertAlign w:val="subscript"/>
          <w:lang w:val="en-US" w:eastAsia="en-US"/>
        </w:rPr>
        <w:t>2</w:t>
      </w:r>
      <w:r w:rsidRPr="00932BC7">
        <w:rPr>
          <w:rFonts w:eastAsia="Calibri" w:cs="Arial"/>
          <w:color w:val="131313"/>
          <w:lang w:val="en-US" w:eastAsia="en-US"/>
        </w:rPr>
        <w:t xml:space="preserve">, methane and nitrous oxides. </w:t>
      </w:r>
      <w:r w:rsidR="002A2D5A">
        <w:rPr>
          <w:rFonts w:eastAsia="Calibri" w:cs="Arial"/>
          <w:color w:val="131313"/>
          <w:lang w:val="en-US" w:eastAsia="en-US"/>
        </w:rPr>
        <w:t xml:space="preserve"> The proposed MRV framework for the BRT is given </w:t>
      </w:r>
    </w:p>
    <w:p w:rsidR="00A67620" w:rsidRPr="008C037E" w:rsidRDefault="00A67620" w:rsidP="00A67620">
      <w:pPr>
        <w:widowControl w:val="0"/>
        <w:autoSpaceDE w:val="0"/>
        <w:autoSpaceDN w:val="0"/>
        <w:adjustRightInd w:val="0"/>
        <w:spacing w:line="276" w:lineRule="auto"/>
        <w:rPr>
          <w:rFonts w:eastAsia="Calibri" w:cs="Arial"/>
          <w:color w:val="131313"/>
          <w:sz w:val="22"/>
          <w:szCs w:val="22"/>
          <w:lang w:val="en-US" w:eastAsia="en-US"/>
        </w:rPr>
      </w:pPr>
    </w:p>
    <w:p w:rsidR="00B84703" w:rsidRDefault="00B84703" w:rsidP="00A67620">
      <w:pPr>
        <w:spacing w:after="120" w:line="276" w:lineRule="auto"/>
        <w:rPr>
          <w:rFonts w:cs="Arial"/>
          <w:b/>
          <w:sz w:val="22"/>
        </w:rPr>
      </w:pPr>
    </w:p>
    <w:p w:rsidR="00B84703" w:rsidRDefault="00B84703" w:rsidP="00B84703">
      <w:pPr>
        <w:sectPr w:rsidR="00B84703" w:rsidSect="007E54A3">
          <w:footerReference w:type="default" r:id="rId8"/>
          <w:footnotePr>
            <w:numRestart w:val="eachSect"/>
          </w:footnotePr>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87979" w:rsidRDefault="00287979" w:rsidP="00B84703">
      <w:pPr>
        <w:rPr>
          <w:b/>
          <w:sz w:val="22"/>
          <w:szCs w:val="22"/>
        </w:rPr>
      </w:pPr>
    </w:p>
    <w:p w:rsidR="00964269" w:rsidRDefault="002A2D5A" w:rsidP="00964269">
      <w:pPr>
        <w:rPr>
          <w:b/>
          <w:sz w:val="22"/>
          <w:szCs w:val="22"/>
        </w:rPr>
      </w:pPr>
      <w:r>
        <w:rPr>
          <w:rFonts w:ascii="Arial" w:hAnsi="Arial"/>
          <w:b/>
          <w:sz w:val="22"/>
          <w:szCs w:val="22"/>
        </w:rPr>
        <w:t xml:space="preserve">Table 4 </w:t>
      </w:r>
      <w:r w:rsidR="00964269" w:rsidRPr="00300EF9">
        <w:rPr>
          <w:rFonts w:ascii="Arial" w:hAnsi="Arial"/>
          <w:b/>
          <w:sz w:val="22"/>
          <w:szCs w:val="22"/>
        </w:rPr>
        <w:t>Proposed MRV framework for BRT</w:t>
      </w:r>
      <w:r w:rsidR="00964269">
        <w:rPr>
          <w:b/>
          <w:sz w:val="22"/>
          <w:szCs w:val="22"/>
        </w:rPr>
        <w:t xml:space="preserve"> NAMA</w:t>
      </w: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62"/>
        <w:gridCol w:w="1492"/>
        <w:gridCol w:w="1415"/>
        <w:gridCol w:w="1744"/>
        <w:gridCol w:w="1668"/>
        <w:gridCol w:w="1359"/>
        <w:gridCol w:w="1359"/>
        <w:gridCol w:w="2485"/>
        <w:gridCol w:w="1398"/>
      </w:tblGrid>
      <w:tr w:rsidR="00964269" w:rsidRPr="00EE19F0" w:rsidTr="007C3213">
        <w:trPr>
          <w:trHeight w:val="563"/>
          <w:jc w:val="center"/>
        </w:trPr>
        <w:tc>
          <w:tcPr>
            <w:tcW w:w="445" w:type="pct"/>
          </w:tcPr>
          <w:p w:rsidR="00964269" w:rsidRPr="00A74229" w:rsidRDefault="00964269" w:rsidP="007C3213">
            <w:pPr>
              <w:rPr>
                <w:b/>
                <w:sz w:val="18"/>
                <w:szCs w:val="18"/>
              </w:rPr>
            </w:pPr>
            <w:r w:rsidRPr="00A74229">
              <w:rPr>
                <w:b/>
                <w:sz w:val="18"/>
                <w:szCs w:val="18"/>
              </w:rPr>
              <w:t>Indicators</w:t>
            </w:r>
          </w:p>
        </w:tc>
        <w:tc>
          <w:tcPr>
            <w:tcW w:w="526" w:type="pct"/>
          </w:tcPr>
          <w:p w:rsidR="00964269" w:rsidRPr="00A74229" w:rsidRDefault="00964269" w:rsidP="007C3213">
            <w:pPr>
              <w:spacing w:line="240" w:lineRule="auto"/>
              <w:rPr>
                <w:rFonts w:cs="Arial"/>
                <w:b/>
                <w:sz w:val="18"/>
                <w:szCs w:val="18"/>
              </w:rPr>
            </w:pPr>
            <w:r>
              <w:rPr>
                <w:rFonts w:cs="Arial"/>
                <w:b/>
                <w:sz w:val="18"/>
                <w:szCs w:val="18"/>
              </w:rPr>
              <w:t>Target</w:t>
            </w:r>
          </w:p>
        </w:tc>
        <w:tc>
          <w:tcPr>
            <w:tcW w:w="499" w:type="pct"/>
          </w:tcPr>
          <w:p w:rsidR="00964269" w:rsidRPr="00A74229" w:rsidRDefault="00964269" w:rsidP="007C3213">
            <w:pPr>
              <w:spacing w:line="240" w:lineRule="auto"/>
              <w:rPr>
                <w:rFonts w:cs="Arial"/>
                <w:b/>
                <w:sz w:val="18"/>
                <w:szCs w:val="18"/>
              </w:rPr>
            </w:pPr>
            <w:r>
              <w:rPr>
                <w:rFonts w:cs="Arial"/>
                <w:b/>
                <w:sz w:val="18"/>
                <w:szCs w:val="18"/>
              </w:rPr>
              <w:t>Type of baseline</w:t>
            </w:r>
          </w:p>
        </w:tc>
        <w:tc>
          <w:tcPr>
            <w:tcW w:w="615" w:type="pct"/>
          </w:tcPr>
          <w:p w:rsidR="00964269" w:rsidRPr="00A74229" w:rsidRDefault="00964269" w:rsidP="007C3213">
            <w:pPr>
              <w:spacing w:line="240" w:lineRule="auto"/>
              <w:rPr>
                <w:rFonts w:cs="Arial"/>
                <w:b/>
                <w:sz w:val="18"/>
                <w:szCs w:val="18"/>
              </w:rPr>
            </w:pPr>
            <w:r w:rsidRPr="00A74229">
              <w:rPr>
                <w:rFonts w:cs="Arial"/>
                <w:b/>
                <w:sz w:val="18"/>
                <w:szCs w:val="18"/>
              </w:rPr>
              <w:t>Information</w:t>
            </w:r>
          </w:p>
        </w:tc>
        <w:tc>
          <w:tcPr>
            <w:tcW w:w="588" w:type="pct"/>
          </w:tcPr>
          <w:p w:rsidR="00964269" w:rsidRPr="00A74229" w:rsidRDefault="00964269" w:rsidP="007C3213">
            <w:pPr>
              <w:spacing w:line="240" w:lineRule="auto"/>
              <w:ind w:left="90"/>
              <w:rPr>
                <w:rFonts w:cs="Arial"/>
                <w:b/>
                <w:sz w:val="18"/>
                <w:szCs w:val="18"/>
              </w:rPr>
            </w:pPr>
            <w:r w:rsidRPr="00A74229">
              <w:rPr>
                <w:rFonts w:cs="Arial"/>
                <w:b/>
                <w:sz w:val="18"/>
                <w:szCs w:val="18"/>
              </w:rPr>
              <w:t>Institution Responsible</w:t>
            </w:r>
            <w:r>
              <w:rPr>
                <w:rFonts w:cs="Arial"/>
                <w:b/>
                <w:sz w:val="18"/>
                <w:szCs w:val="18"/>
              </w:rPr>
              <w:t xml:space="preserve"> for collecting Information</w:t>
            </w:r>
          </w:p>
        </w:tc>
        <w:tc>
          <w:tcPr>
            <w:tcW w:w="479" w:type="pct"/>
          </w:tcPr>
          <w:p w:rsidR="00964269" w:rsidRPr="00A74229" w:rsidRDefault="00964269" w:rsidP="007C3213">
            <w:pPr>
              <w:rPr>
                <w:rFonts w:cs="Arial"/>
                <w:b/>
                <w:sz w:val="18"/>
                <w:szCs w:val="18"/>
              </w:rPr>
            </w:pPr>
            <w:r>
              <w:rPr>
                <w:rFonts w:cs="Arial"/>
                <w:b/>
                <w:sz w:val="18"/>
                <w:szCs w:val="18"/>
              </w:rPr>
              <w:t>Procedure</w:t>
            </w:r>
          </w:p>
        </w:tc>
        <w:tc>
          <w:tcPr>
            <w:tcW w:w="479" w:type="pct"/>
          </w:tcPr>
          <w:p w:rsidR="00964269" w:rsidRPr="00A74229" w:rsidRDefault="00964269" w:rsidP="007C3213">
            <w:pPr>
              <w:rPr>
                <w:rFonts w:cs="Arial"/>
                <w:b/>
                <w:sz w:val="18"/>
                <w:szCs w:val="18"/>
              </w:rPr>
            </w:pPr>
            <w:r w:rsidRPr="00A74229">
              <w:rPr>
                <w:rFonts w:cs="Arial"/>
                <w:b/>
                <w:sz w:val="18"/>
                <w:szCs w:val="18"/>
              </w:rPr>
              <w:t>Reporting</w:t>
            </w:r>
          </w:p>
        </w:tc>
        <w:tc>
          <w:tcPr>
            <w:tcW w:w="876" w:type="pct"/>
          </w:tcPr>
          <w:p w:rsidR="00964269" w:rsidRPr="00A74229" w:rsidRDefault="00964269" w:rsidP="007C3213">
            <w:pPr>
              <w:rPr>
                <w:rFonts w:cs="Arial"/>
                <w:b/>
                <w:sz w:val="18"/>
                <w:szCs w:val="18"/>
              </w:rPr>
            </w:pPr>
            <w:r w:rsidRPr="00A74229">
              <w:rPr>
                <w:rFonts w:cs="Arial"/>
                <w:b/>
                <w:sz w:val="18"/>
                <w:szCs w:val="18"/>
              </w:rPr>
              <w:t xml:space="preserve">Verification </w:t>
            </w:r>
          </w:p>
        </w:tc>
        <w:tc>
          <w:tcPr>
            <w:tcW w:w="493" w:type="pct"/>
          </w:tcPr>
          <w:p w:rsidR="00964269" w:rsidRPr="00A74229" w:rsidRDefault="00964269" w:rsidP="007C3213">
            <w:pPr>
              <w:rPr>
                <w:rFonts w:cs="Arial"/>
                <w:b/>
                <w:sz w:val="18"/>
                <w:szCs w:val="18"/>
              </w:rPr>
            </w:pPr>
            <w:r w:rsidRPr="00A74229">
              <w:rPr>
                <w:rFonts w:cs="Arial"/>
                <w:b/>
                <w:sz w:val="18"/>
                <w:szCs w:val="18"/>
              </w:rPr>
              <w:t>Leadership</w:t>
            </w:r>
          </w:p>
        </w:tc>
      </w:tr>
      <w:tr w:rsidR="00964269" w:rsidRPr="00EE19F0" w:rsidTr="007C3213">
        <w:trPr>
          <w:jc w:val="center"/>
        </w:trPr>
        <w:tc>
          <w:tcPr>
            <w:tcW w:w="445" w:type="pct"/>
          </w:tcPr>
          <w:p w:rsidR="00964269" w:rsidRPr="003A4529" w:rsidRDefault="00964269" w:rsidP="007C3213">
            <w:pPr>
              <w:autoSpaceDE w:val="0"/>
              <w:autoSpaceDN w:val="0"/>
              <w:adjustRightInd w:val="0"/>
              <w:spacing w:line="240" w:lineRule="auto"/>
              <w:rPr>
                <w:rFonts w:cs="Arial"/>
                <w:color w:val="000000"/>
                <w:sz w:val="18"/>
                <w:szCs w:val="18"/>
              </w:rPr>
            </w:pPr>
            <w:r w:rsidRPr="003A4529">
              <w:rPr>
                <w:rFonts w:cs="Arial"/>
                <w:color w:val="000000"/>
                <w:sz w:val="18"/>
                <w:szCs w:val="18"/>
              </w:rPr>
              <w:t xml:space="preserve">Emission Factors </w:t>
            </w:r>
          </w:p>
          <w:p w:rsidR="00964269" w:rsidRDefault="00964269" w:rsidP="007C3213">
            <w:pPr>
              <w:pStyle w:val="Default"/>
              <w:rPr>
                <w:rFonts w:ascii="Arial" w:hAnsi="Arial" w:cs="Arial"/>
                <w:sz w:val="18"/>
                <w:szCs w:val="18"/>
              </w:rPr>
            </w:pPr>
          </w:p>
          <w:p w:rsidR="00964269" w:rsidRDefault="00964269" w:rsidP="007C3213">
            <w:pPr>
              <w:pStyle w:val="Default"/>
              <w:rPr>
                <w:rFonts w:ascii="Arial" w:hAnsi="Arial" w:cs="Arial"/>
                <w:sz w:val="18"/>
                <w:szCs w:val="18"/>
              </w:rPr>
            </w:pPr>
            <w:r w:rsidRPr="00FC2A63">
              <w:rPr>
                <w:rFonts w:ascii="Arial" w:hAnsi="Arial" w:cs="Arial"/>
                <w:sz w:val="18"/>
                <w:szCs w:val="18"/>
              </w:rPr>
              <w:t xml:space="preserve">Activity Data (fleet, stock, fuel) </w:t>
            </w:r>
          </w:p>
          <w:p w:rsidR="00964269" w:rsidRDefault="00964269" w:rsidP="007C3213">
            <w:pPr>
              <w:pStyle w:val="Default"/>
              <w:rPr>
                <w:rFonts w:ascii="Arial" w:hAnsi="Arial" w:cs="Arial"/>
                <w:sz w:val="18"/>
                <w:szCs w:val="18"/>
              </w:rPr>
            </w:pPr>
          </w:p>
          <w:p w:rsidR="00964269" w:rsidRPr="009D352F" w:rsidRDefault="00964269" w:rsidP="007C3213">
            <w:pPr>
              <w:pStyle w:val="Default"/>
              <w:rPr>
                <w:rFonts w:ascii="Arial" w:hAnsi="Arial" w:cs="Arial"/>
                <w:sz w:val="18"/>
                <w:szCs w:val="18"/>
              </w:rPr>
            </w:pPr>
            <w:r>
              <w:rPr>
                <w:rFonts w:ascii="Arial" w:hAnsi="Arial" w:cs="Arial"/>
                <w:sz w:val="18"/>
                <w:szCs w:val="18"/>
              </w:rPr>
              <w:t>Policy and regulatory framework</w:t>
            </w:r>
          </w:p>
        </w:tc>
        <w:tc>
          <w:tcPr>
            <w:tcW w:w="526" w:type="pct"/>
          </w:tcPr>
          <w:p w:rsidR="00964269" w:rsidRDefault="00964269" w:rsidP="007C3213">
            <w:pPr>
              <w:pStyle w:val="Default"/>
              <w:rPr>
                <w:rFonts w:ascii="Arial" w:hAnsi="Arial" w:cs="Arial"/>
                <w:sz w:val="18"/>
                <w:szCs w:val="18"/>
              </w:rPr>
            </w:pPr>
            <w:r>
              <w:rPr>
                <w:rFonts w:ascii="Arial" w:hAnsi="Arial" w:cs="Arial"/>
                <w:sz w:val="18"/>
                <w:szCs w:val="18"/>
              </w:rPr>
              <w:t xml:space="preserve">Atleast 10% emission reduction, </w:t>
            </w:r>
          </w:p>
          <w:p w:rsidR="00964269" w:rsidRDefault="00964269" w:rsidP="007C3213">
            <w:pPr>
              <w:pStyle w:val="Default"/>
              <w:rPr>
                <w:rFonts w:ascii="Arial" w:hAnsi="Arial" w:cs="Arial"/>
                <w:sz w:val="18"/>
                <w:szCs w:val="18"/>
              </w:rPr>
            </w:pPr>
          </w:p>
          <w:p w:rsidR="00964269" w:rsidRPr="00EE19F0" w:rsidRDefault="00964269" w:rsidP="007C3213">
            <w:pPr>
              <w:pStyle w:val="Default"/>
              <w:rPr>
                <w:rFonts w:ascii="Arial" w:hAnsi="Arial" w:cs="Arial"/>
                <w:sz w:val="18"/>
                <w:szCs w:val="18"/>
              </w:rPr>
            </w:pPr>
            <w:r w:rsidRPr="009420C8">
              <w:rPr>
                <w:rFonts w:ascii="Arial" w:hAnsi="Arial" w:cs="Arial"/>
                <w:sz w:val="18"/>
                <w:szCs w:val="18"/>
              </w:rPr>
              <w:t>50% reduction in private car usage</w:t>
            </w:r>
            <w:r w:rsidRPr="00EE19F0">
              <w:rPr>
                <w:rFonts w:ascii="Arial" w:hAnsi="Arial" w:cs="Arial"/>
                <w:sz w:val="18"/>
                <w:szCs w:val="18"/>
              </w:rPr>
              <w:t xml:space="preserve"> </w:t>
            </w:r>
          </w:p>
        </w:tc>
        <w:tc>
          <w:tcPr>
            <w:tcW w:w="499" w:type="pct"/>
          </w:tcPr>
          <w:p w:rsidR="00964269" w:rsidRDefault="00964269" w:rsidP="007C3213">
            <w:pPr>
              <w:pStyle w:val="Default"/>
              <w:rPr>
                <w:rFonts w:ascii="Arial" w:hAnsi="Arial" w:cs="Arial"/>
                <w:sz w:val="18"/>
                <w:szCs w:val="18"/>
              </w:rPr>
            </w:pPr>
            <w:r>
              <w:rPr>
                <w:rFonts w:ascii="Arial" w:hAnsi="Arial" w:cs="Arial"/>
                <w:sz w:val="18"/>
                <w:szCs w:val="18"/>
              </w:rPr>
              <w:t>Annual emission data</w:t>
            </w:r>
          </w:p>
          <w:p w:rsidR="00964269" w:rsidRDefault="00964269" w:rsidP="007C3213">
            <w:pPr>
              <w:pStyle w:val="Default"/>
              <w:rPr>
                <w:rFonts w:ascii="Arial" w:hAnsi="Arial" w:cs="Arial"/>
                <w:sz w:val="18"/>
                <w:szCs w:val="18"/>
              </w:rPr>
            </w:pPr>
          </w:p>
          <w:p w:rsidR="00964269" w:rsidRPr="00EE19F0" w:rsidRDefault="00964269" w:rsidP="007C3213">
            <w:pPr>
              <w:pStyle w:val="Default"/>
              <w:rPr>
                <w:rFonts w:ascii="Arial" w:hAnsi="Arial" w:cs="Arial"/>
                <w:sz w:val="18"/>
                <w:szCs w:val="18"/>
              </w:rPr>
            </w:pPr>
            <w:r w:rsidRPr="001D69F3">
              <w:rPr>
                <w:rFonts w:ascii="Arial" w:hAnsi="Arial" w:cs="Arial"/>
                <w:sz w:val="18"/>
                <w:szCs w:val="18"/>
              </w:rPr>
              <w:t>Number of cars and number of passengers per car</w:t>
            </w:r>
          </w:p>
        </w:tc>
        <w:tc>
          <w:tcPr>
            <w:tcW w:w="615" w:type="pct"/>
          </w:tcPr>
          <w:p w:rsidR="00964269" w:rsidRPr="00582EC6" w:rsidRDefault="00964269" w:rsidP="007C3213">
            <w:pPr>
              <w:spacing w:line="240" w:lineRule="auto"/>
              <w:rPr>
                <w:rFonts w:cs="Arial"/>
                <w:sz w:val="18"/>
                <w:szCs w:val="18"/>
              </w:rPr>
            </w:pPr>
            <w:r w:rsidRPr="00582EC6">
              <w:rPr>
                <w:rFonts w:cs="Arial"/>
                <w:sz w:val="18"/>
                <w:szCs w:val="18"/>
              </w:rPr>
              <w:t xml:space="preserve">Establish gazetted parks outside the city </w:t>
            </w: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r w:rsidRPr="00582EC6">
              <w:rPr>
                <w:rFonts w:cs="Arial"/>
                <w:sz w:val="18"/>
                <w:szCs w:val="18"/>
              </w:rPr>
              <w:t xml:space="preserve">Procurement of buses </w:t>
            </w: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r w:rsidRPr="00582EC6">
              <w:rPr>
                <w:rFonts w:cs="Arial"/>
                <w:sz w:val="18"/>
                <w:szCs w:val="18"/>
              </w:rPr>
              <w:t>comprehensive stocktaking on vehicles in city</w:t>
            </w:r>
          </w:p>
        </w:tc>
        <w:tc>
          <w:tcPr>
            <w:tcW w:w="588" w:type="pct"/>
          </w:tcPr>
          <w:p w:rsidR="00964269" w:rsidRPr="00582EC6" w:rsidRDefault="00964269" w:rsidP="007C3213">
            <w:pPr>
              <w:spacing w:line="240" w:lineRule="auto"/>
              <w:rPr>
                <w:rFonts w:cs="Arial"/>
                <w:sz w:val="18"/>
                <w:szCs w:val="18"/>
              </w:rPr>
            </w:pPr>
            <w:r w:rsidRPr="00582EC6">
              <w:rPr>
                <w:rFonts w:cs="Arial"/>
                <w:sz w:val="18"/>
                <w:szCs w:val="18"/>
              </w:rPr>
              <w:t>MoWT</w:t>
            </w:r>
            <w:r w:rsidR="00AE1A20">
              <w:rPr>
                <w:rFonts w:cs="Arial"/>
                <w:sz w:val="18"/>
                <w:szCs w:val="18"/>
              </w:rPr>
              <w:t>/KCCA</w:t>
            </w: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r w:rsidRPr="00582EC6">
              <w:rPr>
                <w:rFonts w:cs="Arial"/>
                <w:sz w:val="18"/>
                <w:szCs w:val="18"/>
              </w:rPr>
              <w:t>MoWT</w:t>
            </w: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p>
          <w:p w:rsidR="00964269" w:rsidRPr="00582EC6" w:rsidRDefault="00964269" w:rsidP="007C3213">
            <w:pPr>
              <w:spacing w:line="240" w:lineRule="auto"/>
              <w:rPr>
                <w:rFonts w:cs="Arial"/>
                <w:sz w:val="18"/>
                <w:szCs w:val="18"/>
              </w:rPr>
            </w:pPr>
            <w:r w:rsidRPr="00582EC6">
              <w:rPr>
                <w:rFonts w:cs="Arial"/>
                <w:sz w:val="18"/>
                <w:szCs w:val="18"/>
              </w:rPr>
              <w:t>UBOS, URA, KCCA, Police</w:t>
            </w:r>
          </w:p>
        </w:tc>
        <w:tc>
          <w:tcPr>
            <w:tcW w:w="479" w:type="pct"/>
          </w:tcPr>
          <w:p w:rsidR="00964269" w:rsidRDefault="00964269" w:rsidP="007C3213">
            <w:pPr>
              <w:pStyle w:val="Default"/>
              <w:rPr>
                <w:rFonts w:ascii="Arial" w:hAnsi="Arial" w:cs="Arial"/>
                <w:sz w:val="18"/>
                <w:szCs w:val="18"/>
              </w:rPr>
            </w:pPr>
            <w:r>
              <w:rPr>
                <w:rFonts w:ascii="Arial" w:hAnsi="Arial" w:cs="Arial"/>
                <w:sz w:val="18"/>
                <w:szCs w:val="18"/>
              </w:rPr>
              <w:t>Setting standards</w:t>
            </w:r>
          </w:p>
          <w:p w:rsidR="00964269" w:rsidRDefault="00964269" w:rsidP="007C3213">
            <w:pPr>
              <w:pStyle w:val="Default"/>
              <w:rPr>
                <w:rFonts w:ascii="Arial" w:hAnsi="Arial" w:cs="Arial"/>
                <w:sz w:val="18"/>
                <w:szCs w:val="18"/>
              </w:rPr>
            </w:pPr>
          </w:p>
          <w:p w:rsidR="00964269" w:rsidRDefault="00964269" w:rsidP="007C3213">
            <w:pPr>
              <w:pStyle w:val="Default"/>
              <w:rPr>
                <w:rFonts w:ascii="Arial" w:hAnsi="Arial" w:cs="Arial"/>
                <w:sz w:val="18"/>
                <w:szCs w:val="18"/>
              </w:rPr>
            </w:pPr>
            <w:r>
              <w:rPr>
                <w:rFonts w:ascii="Arial" w:hAnsi="Arial" w:cs="Arial"/>
                <w:sz w:val="18"/>
                <w:szCs w:val="18"/>
              </w:rPr>
              <w:t>Development of policy and regulatory framework</w:t>
            </w:r>
          </w:p>
          <w:p w:rsidR="00964269" w:rsidRDefault="00964269" w:rsidP="007C3213">
            <w:pPr>
              <w:pStyle w:val="Default"/>
              <w:rPr>
                <w:rFonts w:ascii="Arial" w:hAnsi="Arial" w:cs="Arial"/>
                <w:sz w:val="18"/>
                <w:szCs w:val="18"/>
              </w:rPr>
            </w:pPr>
          </w:p>
          <w:p w:rsidR="00964269" w:rsidRDefault="00964269" w:rsidP="007C3213">
            <w:pPr>
              <w:pStyle w:val="Default"/>
              <w:rPr>
                <w:rFonts w:ascii="Arial" w:hAnsi="Arial" w:cs="Arial"/>
                <w:sz w:val="18"/>
                <w:szCs w:val="18"/>
              </w:rPr>
            </w:pPr>
            <w:r>
              <w:rPr>
                <w:rFonts w:ascii="Arial" w:hAnsi="Arial" w:cs="Arial"/>
                <w:sz w:val="18"/>
                <w:szCs w:val="18"/>
              </w:rPr>
              <w:t>Use of IPCC methodology</w:t>
            </w:r>
          </w:p>
          <w:p w:rsidR="00964269" w:rsidRDefault="00964269" w:rsidP="007C3213">
            <w:pPr>
              <w:pStyle w:val="Default"/>
              <w:rPr>
                <w:rFonts w:ascii="Arial" w:hAnsi="Arial" w:cs="Arial"/>
                <w:sz w:val="18"/>
                <w:szCs w:val="18"/>
              </w:rPr>
            </w:pPr>
          </w:p>
          <w:p w:rsidR="00964269" w:rsidRPr="00EE19F0" w:rsidRDefault="00964269" w:rsidP="007C3213">
            <w:pPr>
              <w:pStyle w:val="Default"/>
              <w:rPr>
                <w:rFonts w:ascii="Arial" w:hAnsi="Arial" w:cs="Arial"/>
                <w:sz w:val="18"/>
                <w:szCs w:val="18"/>
              </w:rPr>
            </w:pPr>
            <w:r>
              <w:rPr>
                <w:rFonts w:ascii="Arial" w:hAnsi="Arial" w:cs="Arial"/>
                <w:sz w:val="18"/>
                <w:szCs w:val="18"/>
              </w:rPr>
              <w:t>Stakeholder engagement</w:t>
            </w:r>
          </w:p>
        </w:tc>
        <w:tc>
          <w:tcPr>
            <w:tcW w:w="479" w:type="pct"/>
            <w:vMerge w:val="restart"/>
          </w:tcPr>
          <w:p w:rsidR="00964269" w:rsidRPr="00EE19F0" w:rsidRDefault="00964269" w:rsidP="007C3213">
            <w:pPr>
              <w:pStyle w:val="Default"/>
              <w:rPr>
                <w:rFonts w:ascii="Arial" w:hAnsi="Arial" w:cs="Arial"/>
                <w:sz w:val="18"/>
                <w:szCs w:val="18"/>
              </w:rPr>
            </w:pPr>
            <w:r w:rsidRPr="00EE19F0">
              <w:rPr>
                <w:rFonts w:ascii="Arial" w:hAnsi="Arial" w:cs="Arial"/>
                <w:sz w:val="18"/>
                <w:szCs w:val="18"/>
              </w:rPr>
              <w:t>M</w:t>
            </w:r>
            <w:r>
              <w:rPr>
                <w:rFonts w:ascii="Arial" w:hAnsi="Arial" w:cs="Arial"/>
                <w:sz w:val="18"/>
                <w:szCs w:val="18"/>
              </w:rPr>
              <w:t>oWT</w:t>
            </w:r>
            <w:r w:rsidRPr="00EE19F0">
              <w:rPr>
                <w:rFonts w:ascii="Arial" w:hAnsi="Arial" w:cs="Arial"/>
                <w:sz w:val="18"/>
                <w:szCs w:val="18"/>
              </w:rPr>
              <w:t xml:space="preserve"> aggregates data on a periodic basis (sometimes in response to requests)</w:t>
            </w:r>
          </w:p>
        </w:tc>
        <w:tc>
          <w:tcPr>
            <w:tcW w:w="876" w:type="pct"/>
            <w:vMerge w:val="restart"/>
          </w:tcPr>
          <w:p w:rsidR="00964269" w:rsidRPr="00EE19F0" w:rsidRDefault="00964269" w:rsidP="007C3213">
            <w:pPr>
              <w:pStyle w:val="Default"/>
              <w:rPr>
                <w:rFonts w:ascii="Arial" w:hAnsi="Arial" w:cs="Arial"/>
                <w:sz w:val="18"/>
                <w:szCs w:val="18"/>
              </w:rPr>
            </w:pPr>
            <w:r w:rsidRPr="00EE19F0">
              <w:rPr>
                <w:rFonts w:ascii="Arial" w:hAnsi="Arial" w:cs="Arial"/>
                <w:sz w:val="18"/>
                <w:szCs w:val="18"/>
              </w:rPr>
              <w:t xml:space="preserve">QA/QC by GHG INV team; </w:t>
            </w:r>
          </w:p>
          <w:p w:rsidR="00964269" w:rsidRPr="00EE19F0" w:rsidRDefault="00964269" w:rsidP="007C3213">
            <w:pPr>
              <w:pStyle w:val="Default"/>
              <w:rPr>
                <w:rFonts w:ascii="Arial" w:hAnsi="Arial" w:cs="Arial"/>
                <w:sz w:val="18"/>
                <w:szCs w:val="18"/>
              </w:rPr>
            </w:pPr>
          </w:p>
          <w:p w:rsidR="00964269" w:rsidRPr="00EE19F0" w:rsidRDefault="00964269" w:rsidP="007C3213">
            <w:pPr>
              <w:pStyle w:val="Default"/>
              <w:rPr>
                <w:rFonts w:ascii="Arial" w:hAnsi="Arial" w:cs="Arial"/>
                <w:sz w:val="18"/>
                <w:szCs w:val="18"/>
              </w:rPr>
            </w:pPr>
            <w:r w:rsidRPr="00EE19F0">
              <w:rPr>
                <w:rFonts w:ascii="Arial" w:hAnsi="Arial" w:cs="Arial"/>
                <w:sz w:val="18"/>
                <w:szCs w:val="18"/>
              </w:rPr>
              <w:t xml:space="preserve">NEMA to do Environmental Impact Assessments/external regulatory authority (to check emissions profile of energy suppliers) </w:t>
            </w:r>
          </w:p>
          <w:p w:rsidR="00964269" w:rsidRPr="00EE19F0" w:rsidRDefault="00964269" w:rsidP="007C3213">
            <w:pPr>
              <w:rPr>
                <w:rFonts w:cs="Arial"/>
                <w:sz w:val="18"/>
                <w:szCs w:val="18"/>
              </w:rPr>
            </w:pPr>
          </w:p>
          <w:p w:rsidR="00964269" w:rsidRPr="00EE19F0" w:rsidRDefault="00964269" w:rsidP="007C3213">
            <w:pPr>
              <w:rPr>
                <w:rFonts w:cs="Arial"/>
                <w:sz w:val="18"/>
                <w:szCs w:val="18"/>
              </w:rPr>
            </w:pPr>
          </w:p>
        </w:tc>
        <w:tc>
          <w:tcPr>
            <w:tcW w:w="493" w:type="pct"/>
            <w:vMerge w:val="restart"/>
          </w:tcPr>
          <w:p w:rsidR="00964269" w:rsidRPr="00EE19F0" w:rsidRDefault="00964269" w:rsidP="007C3213">
            <w:pPr>
              <w:rPr>
                <w:rFonts w:cs="Arial"/>
                <w:sz w:val="18"/>
                <w:szCs w:val="18"/>
              </w:rPr>
            </w:pPr>
            <w:r>
              <w:rPr>
                <w:rFonts w:cs="Arial"/>
                <w:sz w:val="18"/>
                <w:szCs w:val="18"/>
              </w:rPr>
              <w:t>Mo</w:t>
            </w:r>
            <w:r w:rsidRPr="00A126FD">
              <w:rPr>
                <w:rFonts w:cs="Arial"/>
                <w:sz w:val="18"/>
                <w:szCs w:val="18"/>
              </w:rPr>
              <w:t>WT, CCU, UBOS, KCCA, UNBS, MEMD</w:t>
            </w:r>
            <w:r>
              <w:rPr>
                <w:rFonts w:cs="Arial"/>
                <w:sz w:val="18"/>
                <w:szCs w:val="18"/>
              </w:rPr>
              <w:t>, UBA</w:t>
            </w:r>
          </w:p>
        </w:tc>
      </w:tr>
      <w:tr w:rsidR="00964269" w:rsidRPr="00EE19F0" w:rsidTr="007C3213">
        <w:trPr>
          <w:jc w:val="center"/>
        </w:trPr>
        <w:tc>
          <w:tcPr>
            <w:tcW w:w="445" w:type="pct"/>
          </w:tcPr>
          <w:p w:rsidR="00964269" w:rsidRPr="00F91A03" w:rsidRDefault="00964269" w:rsidP="007C3213">
            <w:pPr>
              <w:pStyle w:val="ListParagraph"/>
              <w:autoSpaceDE w:val="0"/>
              <w:autoSpaceDN w:val="0"/>
              <w:adjustRightInd w:val="0"/>
              <w:spacing w:after="0" w:line="240" w:lineRule="auto"/>
              <w:ind w:left="450"/>
              <w:rPr>
                <w:rFonts w:ascii="Arial" w:hAnsi="Arial" w:cs="Arial"/>
                <w:color w:val="000000"/>
                <w:sz w:val="18"/>
                <w:szCs w:val="18"/>
              </w:rPr>
            </w:pPr>
          </w:p>
        </w:tc>
        <w:tc>
          <w:tcPr>
            <w:tcW w:w="526" w:type="pct"/>
          </w:tcPr>
          <w:p w:rsidR="00964269" w:rsidRPr="00EE19F0" w:rsidRDefault="00964269" w:rsidP="007C3213">
            <w:pPr>
              <w:pStyle w:val="Default"/>
              <w:rPr>
                <w:rFonts w:ascii="Arial" w:hAnsi="Arial" w:cs="Arial"/>
                <w:sz w:val="18"/>
                <w:szCs w:val="18"/>
              </w:rPr>
            </w:pPr>
          </w:p>
        </w:tc>
        <w:tc>
          <w:tcPr>
            <w:tcW w:w="499" w:type="pct"/>
          </w:tcPr>
          <w:p w:rsidR="00964269" w:rsidRPr="00EE19F0" w:rsidRDefault="00964269" w:rsidP="007C3213">
            <w:pPr>
              <w:pStyle w:val="Default"/>
              <w:rPr>
                <w:rFonts w:ascii="Arial" w:hAnsi="Arial" w:cs="Arial"/>
                <w:sz w:val="18"/>
                <w:szCs w:val="18"/>
              </w:rPr>
            </w:pPr>
          </w:p>
        </w:tc>
        <w:tc>
          <w:tcPr>
            <w:tcW w:w="615" w:type="pct"/>
          </w:tcPr>
          <w:p w:rsidR="00964269" w:rsidRPr="00EE19F0" w:rsidRDefault="00964269" w:rsidP="007C3213">
            <w:pPr>
              <w:pStyle w:val="Default"/>
              <w:rPr>
                <w:rFonts w:ascii="Arial" w:hAnsi="Arial" w:cs="Arial"/>
                <w:sz w:val="18"/>
                <w:szCs w:val="18"/>
              </w:rPr>
            </w:pPr>
          </w:p>
        </w:tc>
        <w:tc>
          <w:tcPr>
            <w:tcW w:w="588" w:type="pct"/>
          </w:tcPr>
          <w:p w:rsidR="00964269" w:rsidRPr="00EE19F0" w:rsidRDefault="00964269" w:rsidP="007C3213">
            <w:pPr>
              <w:pStyle w:val="Default"/>
              <w:rPr>
                <w:rFonts w:ascii="Arial" w:hAnsi="Arial" w:cs="Arial"/>
                <w:sz w:val="18"/>
                <w:szCs w:val="18"/>
              </w:rPr>
            </w:pPr>
          </w:p>
        </w:tc>
        <w:tc>
          <w:tcPr>
            <w:tcW w:w="479" w:type="pct"/>
          </w:tcPr>
          <w:p w:rsidR="00964269" w:rsidRPr="00EE19F0" w:rsidRDefault="00964269" w:rsidP="007C3213">
            <w:pPr>
              <w:pStyle w:val="Default"/>
              <w:ind w:left="450"/>
              <w:rPr>
                <w:rFonts w:ascii="Arial" w:hAnsi="Arial" w:cs="Arial"/>
                <w:sz w:val="18"/>
                <w:szCs w:val="18"/>
              </w:rPr>
            </w:pPr>
          </w:p>
        </w:tc>
        <w:tc>
          <w:tcPr>
            <w:tcW w:w="479" w:type="pct"/>
            <w:vMerge/>
          </w:tcPr>
          <w:p w:rsidR="00964269" w:rsidRPr="00EE19F0" w:rsidRDefault="00964269" w:rsidP="007C3213">
            <w:pPr>
              <w:pStyle w:val="Default"/>
              <w:ind w:left="450"/>
              <w:rPr>
                <w:rFonts w:ascii="Arial" w:hAnsi="Arial" w:cs="Arial"/>
                <w:sz w:val="18"/>
                <w:szCs w:val="18"/>
              </w:rPr>
            </w:pPr>
          </w:p>
        </w:tc>
        <w:tc>
          <w:tcPr>
            <w:tcW w:w="876" w:type="pct"/>
            <w:vMerge/>
          </w:tcPr>
          <w:p w:rsidR="00964269" w:rsidRPr="00EE19F0" w:rsidRDefault="00964269" w:rsidP="007C3213">
            <w:pPr>
              <w:pStyle w:val="Default"/>
              <w:ind w:left="450"/>
              <w:rPr>
                <w:rFonts w:ascii="Arial" w:hAnsi="Arial" w:cs="Arial"/>
                <w:sz w:val="18"/>
                <w:szCs w:val="18"/>
              </w:rPr>
            </w:pPr>
          </w:p>
        </w:tc>
        <w:tc>
          <w:tcPr>
            <w:tcW w:w="493" w:type="pct"/>
            <w:vMerge/>
          </w:tcPr>
          <w:p w:rsidR="00964269" w:rsidRPr="00EE19F0" w:rsidRDefault="00964269" w:rsidP="007C3213">
            <w:pPr>
              <w:rPr>
                <w:rFonts w:cs="Arial"/>
                <w:sz w:val="18"/>
                <w:szCs w:val="18"/>
              </w:rPr>
            </w:pPr>
          </w:p>
        </w:tc>
      </w:tr>
      <w:tr w:rsidR="00964269" w:rsidRPr="00EE19F0" w:rsidTr="007C3213">
        <w:trPr>
          <w:jc w:val="center"/>
        </w:trPr>
        <w:tc>
          <w:tcPr>
            <w:tcW w:w="5000" w:type="pct"/>
            <w:gridSpan w:val="9"/>
          </w:tcPr>
          <w:p w:rsidR="00964269" w:rsidRPr="00EE19F0" w:rsidRDefault="00964269" w:rsidP="007C3213">
            <w:pPr>
              <w:rPr>
                <w:rFonts w:cs="Arial"/>
                <w:sz w:val="18"/>
                <w:szCs w:val="18"/>
              </w:rPr>
            </w:pPr>
          </w:p>
        </w:tc>
      </w:tr>
      <w:tr w:rsidR="00964269" w:rsidRPr="00EE19F0" w:rsidTr="007C3213">
        <w:trPr>
          <w:jc w:val="center"/>
        </w:trPr>
        <w:tc>
          <w:tcPr>
            <w:tcW w:w="1469" w:type="pct"/>
            <w:gridSpan w:val="3"/>
          </w:tcPr>
          <w:p w:rsidR="00964269" w:rsidRPr="00EE19F0" w:rsidRDefault="00964269" w:rsidP="007C3213">
            <w:pPr>
              <w:pStyle w:val="Default"/>
              <w:rPr>
                <w:rFonts w:ascii="Arial" w:hAnsi="Arial" w:cs="Arial"/>
                <w:sz w:val="18"/>
                <w:szCs w:val="18"/>
              </w:rPr>
            </w:pPr>
            <w:r w:rsidRPr="009D352F">
              <w:rPr>
                <w:rFonts w:ascii="Arial" w:hAnsi="Arial" w:cs="Arial"/>
                <w:b/>
                <w:bCs/>
                <w:sz w:val="18"/>
                <w:szCs w:val="18"/>
              </w:rPr>
              <w:t>Resources, capacities, staff</w:t>
            </w:r>
          </w:p>
        </w:tc>
        <w:tc>
          <w:tcPr>
            <w:tcW w:w="3531" w:type="pct"/>
            <w:gridSpan w:val="6"/>
          </w:tcPr>
          <w:p w:rsidR="00964269" w:rsidRDefault="00964269" w:rsidP="007C3213">
            <w:pPr>
              <w:pStyle w:val="Default"/>
              <w:rPr>
                <w:rFonts w:ascii="Arial" w:hAnsi="Arial" w:cs="Arial"/>
                <w:sz w:val="18"/>
                <w:szCs w:val="18"/>
              </w:rPr>
            </w:pPr>
            <w:r>
              <w:rPr>
                <w:rFonts w:ascii="Arial" w:hAnsi="Arial" w:cs="Arial"/>
                <w:sz w:val="18"/>
                <w:szCs w:val="18"/>
              </w:rPr>
              <w:t>Emissions: Transport engineers,</w:t>
            </w:r>
            <w:r w:rsidRPr="00915147">
              <w:rPr>
                <w:rFonts w:ascii="Arial" w:hAnsi="Arial" w:cs="Arial"/>
                <w:sz w:val="18"/>
                <w:szCs w:val="18"/>
              </w:rPr>
              <w:t xml:space="preserve"> statisticians; env</w:t>
            </w:r>
            <w:r>
              <w:rPr>
                <w:rFonts w:ascii="Arial" w:hAnsi="Arial" w:cs="Arial"/>
                <w:sz w:val="18"/>
                <w:szCs w:val="18"/>
              </w:rPr>
              <w:t>ironmental officers, t</w:t>
            </w:r>
            <w:r w:rsidRPr="00915147">
              <w:rPr>
                <w:rFonts w:ascii="Arial" w:hAnsi="Arial" w:cs="Arial"/>
                <w:sz w:val="18"/>
                <w:szCs w:val="18"/>
              </w:rPr>
              <w:t>ransport economists</w:t>
            </w:r>
            <w:r>
              <w:rPr>
                <w:rFonts w:ascii="Arial" w:hAnsi="Arial" w:cs="Arial"/>
                <w:sz w:val="18"/>
                <w:szCs w:val="18"/>
              </w:rPr>
              <w:t>,</w:t>
            </w:r>
            <w:r w:rsidRPr="00915147">
              <w:rPr>
                <w:rFonts w:ascii="Arial" w:hAnsi="Arial" w:cs="Arial"/>
                <w:sz w:val="18"/>
                <w:szCs w:val="18"/>
              </w:rPr>
              <w:t xml:space="preserve"> emission testing gadgets</w:t>
            </w:r>
            <w:r w:rsidRPr="009D352F">
              <w:rPr>
                <w:rFonts w:ascii="Arial" w:hAnsi="Arial" w:cs="Arial"/>
                <w:sz w:val="18"/>
                <w:szCs w:val="18"/>
              </w:rPr>
              <w:t xml:space="preserve"> </w:t>
            </w:r>
          </w:p>
          <w:p w:rsidR="00964269" w:rsidRPr="008C2A79" w:rsidRDefault="00964269" w:rsidP="007C3213">
            <w:pPr>
              <w:pStyle w:val="Default"/>
              <w:rPr>
                <w:rFonts w:ascii="Arial" w:hAnsi="Arial" w:cs="Arial"/>
                <w:sz w:val="18"/>
                <w:szCs w:val="18"/>
              </w:rPr>
            </w:pPr>
            <w:r>
              <w:rPr>
                <w:rFonts w:ascii="Arial" w:hAnsi="Arial" w:cs="Arial"/>
                <w:sz w:val="18"/>
                <w:szCs w:val="18"/>
              </w:rPr>
              <w:t>NAMA: Licensing of officers, transport economist,</w:t>
            </w:r>
            <w:r w:rsidRPr="00915147">
              <w:rPr>
                <w:rFonts w:ascii="Arial" w:hAnsi="Arial" w:cs="Arial"/>
                <w:sz w:val="18"/>
                <w:szCs w:val="18"/>
              </w:rPr>
              <w:t xml:space="preserve"> motor vehicle inspections</w:t>
            </w:r>
            <w:r>
              <w:rPr>
                <w:rFonts w:ascii="Arial" w:hAnsi="Arial" w:cs="Arial"/>
                <w:sz w:val="18"/>
                <w:szCs w:val="18"/>
              </w:rPr>
              <w:t>,</w:t>
            </w:r>
            <w:r w:rsidRPr="00915147">
              <w:rPr>
                <w:rFonts w:ascii="Arial" w:hAnsi="Arial" w:cs="Arial"/>
                <w:sz w:val="18"/>
                <w:szCs w:val="18"/>
              </w:rPr>
              <w:t xml:space="preserve"> enforcement officers</w:t>
            </w:r>
          </w:p>
        </w:tc>
      </w:tr>
      <w:tr w:rsidR="00964269" w:rsidRPr="00EE19F0" w:rsidTr="007C3213">
        <w:trPr>
          <w:jc w:val="center"/>
        </w:trPr>
        <w:tc>
          <w:tcPr>
            <w:tcW w:w="1469" w:type="pct"/>
            <w:gridSpan w:val="3"/>
          </w:tcPr>
          <w:p w:rsidR="00964269" w:rsidRPr="009D352F" w:rsidRDefault="00964269" w:rsidP="007C3213">
            <w:pPr>
              <w:pStyle w:val="Default"/>
              <w:rPr>
                <w:rFonts w:ascii="Arial" w:hAnsi="Arial" w:cs="Arial"/>
                <w:b/>
                <w:bCs/>
                <w:sz w:val="18"/>
                <w:szCs w:val="18"/>
              </w:rPr>
            </w:pPr>
            <w:r w:rsidRPr="009D352F">
              <w:rPr>
                <w:rFonts w:ascii="Arial" w:hAnsi="Arial" w:cs="Arial"/>
                <w:b/>
                <w:bCs/>
                <w:sz w:val="18"/>
                <w:szCs w:val="18"/>
              </w:rPr>
              <w:t>Long-term costs</w:t>
            </w:r>
          </w:p>
        </w:tc>
        <w:tc>
          <w:tcPr>
            <w:tcW w:w="3531" w:type="pct"/>
            <w:gridSpan w:val="6"/>
          </w:tcPr>
          <w:p w:rsidR="00964269" w:rsidRDefault="00964269" w:rsidP="007C3213">
            <w:pPr>
              <w:pStyle w:val="Default"/>
              <w:rPr>
                <w:rFonts w:ascii="Arial" w:hAnsi="Arial" w:cs="Arial"/>
                <w:sz w:val="18"/>
                <w:szCs w:val="18"/>
              </w:rPr>
            </w:pPr>
            <w:r>
              <w:rPr>
                <w:rFonts w:ascii="Arial" w:hAnsi="Arial" w:cs="Arial"/>
                <w:sz w:val="18"/>
                <w:szCs w:val="18"/>
              </w:rPr>
              <w:t>Emissions: government and grants</w:t>
            </w:r>
          </w:p>
          <w:p w:rsidR="00964269" w:rsidRPr="009D352F" w:rsidRDefault="00964269" w:rsidP="007C3213">
            <w:pPr>
              <w:pStyle w:val="Default"/>
              <w:rPr>
                <w:rFonts w:ascii="Arial" w:hAnsi="Arial" w:cs="Arial"/>
                <w:sz w:val="18"/>
                <w:szCs w:val="18"/>
              </w:rPr>
            </w:pPr>
            <w:r>
              <w:rPr>
                <w:rFonts w:ascii="Arial" w:hAnsi="Arial" w:cs="Arial"/>
                <w:sz w:val="18"/>
                <w:szCs w:val="18"/>
              </w:rPr>
              <w:t>NAMAs: government, grants and user contribution</w:t>
            </w:r>
          </w:p>
        </w:tc>
      </w:tr>
    </w:tbl>
    <w:p w:rsidR="00964269" w:rsidRPr="00300EF9" w:rsidRDefault="00964269" w:rsidP="00B84703">
      <w:pPr>
        <w:rPr>
          <w:b/>
          <w:sz w:val="22"/>
          <w:szCs w:val="22"/>
        </w:rPr>
        <w:sectPr w:rsidR="00964269" w:rsidRPr="00300EF9" w:rsidSect="007E54A3">
          <w:footnotePr>
            <w:numRestart w:val="eachSect"/>
          </w:footnotePr>
          <w:pgSz w:w="16840" w:h="1190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67620" w:rsidRPr="008C037E" w:rsidRDefault="00A67620" w:rsidP="00A67620">
      <w:pPr>
        <w:spacing w:line="276" w:lineRule="auto"/>
        <w:ind w:left="357"/>
        <w:rPr>
          <w:rFonts w:eastAsiaTheme="minorEastAsia" w:cs="Arial"/>
          <w:sz w:val="22"/>
          <w:szCs w:val="22"/>
          <w:lang w:val="en-US" w:eastAsia="en-US"/>
        </w:rPr>
      </w:pPr>
    </w:p>
    <w:p w:rsidR="00A67620" w:rsidRPr="00932BC7" w:rsidRDefault="00A67620" w:rsidP="00A67620">
      <w:pPr>
        <w:spacing w:after="120" w:line="276" w:lineRule="auto"/>
        <w:rPr>
          <w:rFonts w:cs="Arial"/>
          <w:b/>
        </w:rPr>
      </w:pPr>
      <w:r w:rsidRPr="00932BC7">
        <w:rPr>
          <w:rFonts w:cs="Arial"/>
          <w:b/>
        </w:rPr>
        <w:t>Financing of NAMA</w:t>
      </w:r>
    </w:p>
    <w:p w:rsidR="00A67620" w:rsidRDefault="00A67620" w:rsidP="00A67620">
      <w:pPr>
        <w:spacing w:after="120" w:line="276" w:lineRule="auto"/>
        <w:rPr>
          <w:rFonts w:cs="Arial"/>
        </w:rPr>
      </w:pPr>
      <w:r w:rsidRPr="00932BC7">
        <w:rPr>
          <w:rFonts w:cs="Arial"/>
        </w:rPr>
        <w:t>Government contribution, international financing required (loan). International grant financing is required to support the preparation of a full NAMA proposal. Uganda is requesting US$ 250,000 through the submission of a NAMA seeking support for preparation through the UNFCCC NAMA registry.</w:t>
      </w:r>
    </w:p>
    <w:p w:rsidR="00406FD6" w:rsidRDefault="00406FD6" w:rsidP="00A67620">
      <w:pPr>
        <w:spacing w:after="120" w:line="276" w:lineRule="auto"/>
        <w:rPr>
          <w:rFonts w:cs="Arial"/>
        </w:rPr>
      </w:pPr>
    </w:p>
    <w:p w:rsidR="00406FD6" w:rsidRPr="00FF68BD" w:rsidRDefault="00406FD6" w:rsidP="00406FD6">
      <w:pPr>
        <w:spacing w:before="120" w:after="120" w:line="276" w:lineRule="auto"/>
        <w:rPr>
          <w:rFonts w:cs="Arial"/>
        </w:rPr>
      </w:pPr>
      <w:r>
        <w:rPr>
          <w:rFonts w:cs="Arial"/>
          <w:b/>
        </w:rPr>
        <w:t>7.0 Links to National Policies and other NAMAs</w:t>
      </w:r>
      <w:bookmarkStart w:id="1" w:name="_GoBack"/>
      <w:bookmarkEnd w:id="1"/>
    </w:p>
    <w:p w:rsidR="00406FD6" w:rsidRDefault="00406FD6" w:rsidP="00406FD6">
      <w:pPr>
        <w:spacing w:line="276" w:lineRule="auto"/>
        <w:rPr>
          <w:rFonts w:cs="Arial"/>
          <w:iCs/>
        </w:rPr>
      </w:pPr>
      <w:r w:rsidRPr="00FF68BD">
        <w:rPr>
          <w:rFonts w:cs="Arial"/>
          <w:b/>
        </w:rPr>
        <w:t xml:space="preserve">Links to National Development Plan:  </w:t>
      </w:r>
      <w:r w:rsidRPr="00FF68BD">
        <w:rPr>
          <w:rFonts w:cs="Arial"/>
        </w:rPr>
        <w:t xml:space="preserve">This NAMA will support national goals to: i) improve the stock and quality of economic infrastructure, and ii) encourage the sustainable use of the environment and natural resources. The NAMA also relates directly to </w:t>
      </w:r>
      <w:r w:rsidRPr="00FF68BD">
        <w:rPr>
          <w:rFonts w:cs="Arial"/>
          <w:iCs/>
        </w:rPr>
        <w:t xml:space="preserve">National Transport policy and the Non-Motorized Transport Policy both of which have strategies for nationwide improvement of sustainable transportation. </w:t>
      </w:r>
    </w:p>
    <w:p w:rsidR="00406FD6" w:rsidRPr="00FF68BD" w:rsidRDefault="00406FD6" w:rsidP="00406FD6">
      <w:pPr>
        <w:spacing w:line="276" w:lineRule="auto"/>
        <w:rPr>
          <w:rFonts w:cs="Arial"/>
        </w:rPr>
      </w:pPr>
    </w:p>
    <w:p w:rsidR="00406FD6" w:rsidRPr="00510FD0" w:rsidRDefault="00406FD6" w:rsidP="00406FD6">
      <w:pPr>
        <w:spacing w:line="276" w:lineRule="auto"/>
        <w:rPr>
          <w:b/>
        </w:rPr>
      </w:pPr>
      <w:r w:rsidRPr="00510FD0">
        <w:rPr>
          <w:b/>
        </w:rPr>
        <w:t xml:space="preserve">Links to Climate Change Policy: </w:t>
      </w:r>
      <w:r w:rsidRPr="00510FD0">
        <w:t>The NAMA addresses the main goal of the National Climate Change Policy of 2013 and specifically the objective of integrating climate change in planning, decision making and investments as well as the objective to develop and implement appropriate climate change mitigation strategies. This NAMA also links with the climate change policy transport sector strategies particularly the promotion of modes of transport that take GHG emissions reduction into account, integration of risk assessment on transport infrastructure as well as building climate resilient transportation infrastructure at national level.</w:t>
      </w:r>
    </w:p>
    <w:p w:rsidR="00406FD6" w:rsidRPr="00932BC7" w:rsidRDefault="00406FD6" w:rsidP="00A67620">
      <w:pPr>
        <w:spacing w:after="120" w:line="276" w:lineRule="auto"/>
        <w:rPr>
          <w:rFonts w:cs="Arial"/>
        </w:rPr>
      </w:pPr>
    </w:p>
    <w:p w:rsidR="00A67620" w:rsidRPr="00932BC7" w:rsidRDefault="00420375" w:rsidP="00A67620">
      <w:pPr>
        <w:spacing w:before="120" w:after="120" w:line="276" w:lineRule="auto"/>
        <w:rPr>
          <w:rFonts w:cs="Arial"/>
          <w:b/>
        </w:rPr>
      </w:pPr>
      <w:r>
        <w:rPr>
          <w:rFonts w:cs="Arial"/>
          <w:b/>
        </w:rPr>
        <w:t>8</w:t>
      </w:r>
      <w:r w:rsidR="00932BC7" w:rsidRPr="00932BC7">
        <w:rPr>
          <w:rFonts w:cs="Arial"/>
          <w:b/>
        </w:rPr>
        <w:t>.0.</w:t>
      </w:r>
      <w:r w:rsidR="00A67620" w:rsidRPr="00932BC7">
        <w:rPr>
          <w:rFonts w:cs="Arial"/>
          <w:b/>
        </w:rPr>
        <w:tab/>
        <w:t>Supporting Information</w:t>
      </w:r>
    </w:p>
    <w:p w:rsidR="00A67620" w:rsidRPr="00932BC7" w:rsidRDefault="00A67620" w:rsidP="00A67620">
      <w:pPr>
        <w:spacing w:before="120" w:after="120" w:line="276" w:lineRule="auto"/>
        <w:rPr>
          <w:rFonts w:cs="Arial"/>
          <w:b/>
        </w:rPr>
      </w:pPr>
      <w:r w:rsidRPr="00932BC7">
        <w:rPr>
          <w:rFonts w:cs="Arial"/>
          <w:b/>
        </w:rPr>
        <w:t xml:space="preserve">Policies  </w:t>
      </w:r>
    </w:p>
    <w:p w:rsidR="00A67620" w:rsidRPr="00171B1D" w:rsidRDefault="00A67620" w:rsidP="00300EF9">
      <w:pPr>
        <w:pStyle w:val="NoSpacing"/>
        <w:numPr>
          <w:ilvl w:val="0"/>
          <w:numId w:val="15"/>
        </w:numPr>
      </w:pPr>
      <w:r w:rsidRPr="008C037E">
        <w:t xml:space="preserve">Uganda Rural </w:t>
      </w:r>
      <w:r w:rsidRPr="00171B1D">
        <w:t>Transport Policy, 2013, Linking people to markets and services in rural areas, Ministry of Works and Transport</w:t>
      </w:r>
    </w:p>
    <w:p w:rsidR="00A67620" w:rsidRPr="00171B1D" w:rsidRDefault="00A67620" w:rsidP="00300EF9">
      <w:pPr>
        <w:pStyle w:val="NoSpacing"/>
        <w:numPr>
          <w:ilvl w:val="0"/>
          <w:numId w:val="15"/>
        </w:numPr>
      </w:pPr>
      <w:r>
        <w:t xml:space="preserve">Draft </w:t>
      </w:r>
      <w:r w:rsidRPr="00171B1D">
        <w:t>Natio</w:t>
      </w:r>
      <w:r>
        <w:t xml:space="preserve">nal Transportation Policy, </w:t>
      </w:r>
    </w:p>
    <w:p w:rsidR="00A67620" w:rsidRPr="00C61078" w:rsidRDefault="007A255D" w:rsidP="00300EF9">
      <w:pPr>
        <w:pStyle w:val="NoSpacing"/>
        <w:numPr>
          <w:ilvl w:val="0"/>
          <w:numId w:val="15"/>
        </w:numPr>
      </w:pPr>
      <w:r w:rsidRPr="00171B1D">
        <w:t>Non-Motorised</w:t>
      </w:r>
      <w:r w:rsidR="00A67620" w:rsidRPr="00171B1D">
        <w:t xml:space="preserve"> Transport Policy, 2012 </w:t>
      </w:r>
      <w:r w:rsidR="00A67620" w:rsidRPr="00171B1D">
        <w:rPr>
          <w:b/>
        </w:rPr>
        <w:t>-</w:t>
      </w:r>
      <w:r w:rsidR="00A67620">
        <w:t xml:space="preserve"> The Ministry prepared a Non-Motorised Transport </w:t>
      </w:r>
      <w:r w:rsidR="00A67620" w:rsidRPr="00171B1D">
        <w:t>Policy aimed at promoting, guiding and ensuring that all the urban transport and infrastructure designs accommodate and plan for cycling and walking. The Non-Motorised Transport network in GKMA will complement</w:t>
      </w:r>
      <w:r w:rsidR="00A67620">
        <w:t xml:space="preserve"> the</w:t>
      </w:r>
      <w:r w:rsidR="00A67620" w:rsidRPr="00171B1D">
        <w:t xml:space="preserve"> BRT system and act as feeder and distributor to the system. KCCA has already developed plans for pilot NMT corridor.</w:t>
      </w:r>
    </w:p>
    <w:p w:rsidR="00A67620" w:rsidRPr="00932BC7" w:rsidRDefault="00420375" w:rsidP="00A67620">
      <w:pPr>
        <w:spacing w:before="120" w:after="120" w:line="276" w:lineRule="auto"/>
        <w:rPr>
          <w:rFonts w:cs="Arial"/>
          <w:b/>
        </w:rPr>
      </w:pPr>
      <w:r>
        <w:rPr>
          <w:rFonts w:cs="Arial"/>
          <w:b/>
        </w:rPr>
        <w:t xml:space="preserve">9.0 </w:t>
      </w:r>
      <w:r w:rsidR="00A67620" w:rsidRPr="00932BC7">
        <w:rPr>
          <w:rFonts w:cs="Arial"/>
          <w:b/>
        </w:rPr>
        <w:t xml:space="preserve">Current Activities  </w:t>
      </w:r>
    </w:p>
    <w:p w:rsidR="00A67620" w:rsidRPr="00932BC7" w:rsidRDefault="00A67620" w:rsidP="00300EF9">
      <w:pPr>
        <w:pStyle w:val="ListParagraph"/>
        <w:numPr>
          <w:ilvl w:val="0"/>
          <w:numId w:val="16"/>
        </w:numPr>
        <w:rPr>
          <w:b/>
          <w:sz w:val="24"/>
          <w:szCs w:val="24"/>
        </w:rPr>
      </w:pPr>
      <w:r w:rsidRPr="00932BC7">
        <w:rPr>
          <w:sz w:val="24"/>
          <w:szCs w:val="24"/>
        </w:rPr>
        <w:t xml:space="preserve">The World Bank, Kampala Capital City Authority, Government of Uganda, 2010, Feasibility study for BRT in Kampala 2 -  The Ministry signed a contract with consultants to carry out a feasibility study and detailed engineering design and contract preparation for the Pilot BRT system in Greater Kampala Metropolitan Area. This is a </w:t>
      </w:r>
      <w:r w:rsidRPr="00932BC7">
        <w:rPr>
          <w:sz w:val="24"/>
          <w:szCs w:val="24"/>
        </w:rPr>
        <w:lastRenderedPageBreak/>
        <w:t xml:space="preserve">World Bank funded project estimated to cost approximately U$ 3.2 million. The contract duration is 12 months and was expected to be concluded by end of July 2013.  </w:t>
      </w:r>
    </w:p>
    <w:p w:rsidR="00276A15" w:rsidRDefault="00A67620" w:rsidP="00932BC7">
      <w:pPr>
        <w:spacing w:line="276" w:lineRule="auto"/>
      </w:pPr>
      <w:r w:rsidRPr="00171B1D">
        <w:t>The Government is in the process of es</w:t>
      </w:r>
      <w:r>
        <w:t>tablishing a Metropolitan Area T</w:t>
      </w:r>
      <w:r w:rsidRPr="00171B1D">
        <w:t>ransport Authority (MATA) to act as a single-purpose urban transport authority for better management of the public system in the GKMA including BRT. The responsibility of MATA will be planning, procurement and licensing of private transport operation.</w:t>
      </w:r>
    </w:p>
    <w:sectPr w:rsidR="00276A15" w:rsidSect="007E54A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EF" w:rsidRDefault="00165DEF" w:rsidP="00A67620">
      <w:pPr>
        <w:spacing w:line="240" w:lineRule="auto"/>
      </w:pPr>
      <w:r>
        <w:separator/>
      </w:r>
    </w:p>
  </w:endnote>
  <w:endnote w:type="continuationSeparator" w:id="0">
    <w:p w:rsidR="00165DEF" w:rsidRDefault="00165DEF" w:rsidP="00A6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58412"/>
      <w:docPartObj>
        <w:docPartGallery w:val="Page Numbers (Bottom of Page)"/>
        <w:docPartUnique/>
      </w:docPartObj>
    </w:sdtPr>
    <w:sdtEndPr>
      <w:rPr>
        <w:noProof/>
      </w:rPr>
    </w:sdtEndPr>
    <w:sdtContent>
      <w:p w:rsidR="002A2D5A" w:rsidRDefault="002A2D5A">
        <w:pPr>
          <w:pStyle w:val="Footer"/>
          <w:jc w:val="right"/>
        </w:pPr>
        <w:r>
          <w:fldChar w:fldCharType="begin"/>
        </w:r>
        <w:r>
          <w:instrText xml:space="preserve"> PAGE   \* MERGEFORMAT </w:instrText>
        </w:r>
        <w:r>
          <w:fldChar w:fldCharType="separate"/>
        </w:r>
        <w:r w:rsidR="00300EF9">
          <w:rPr>
            <w:noProof/>
          </w:rPr>
          <w:t>11</w:t>
        </w:r>
        <w:r>
          <w:rPr>
            <w:noProof/>
          </w:rPr>
          <w:fldChar w:fldCharType="end"/>
        </w:r>
      </w:p>
    </w:sdtContent>
  </w:sdt>
  <w:p w:rsidR="002A2D5A" w:rsidRDefault="002A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EF" w:rsidRDefault="00165DEF" w:rsidP="00A67620">
      <w:pPr>
        <w:spacing w:line="240" w:lineRule="auto"/>
      </w:pPr>
      <w:r>
        <w:separator/>
      </w:r>
    </w:p>
  </w:footnote>
  <w:footnote w:type="continuationSeparator" w:id="0">
    <w:p w:rsidR="00165DEF" w:rsidRDefault="00165DEF" w:rsidP="00A67620">
      <w:pPr>
        <w:spacing w:line="240" w:lineRule="auto"/>
      </w:pPr>
      <w:r>
        <w:continuationSeparator/>
      </w:r>
    </w:p>
  </w:footnote>
  <w:footnote w:id="1">
    <w:p w:rsidR="00A52E4D" w:rsidRPr="00300EF9" w:rsidRDefault="00A52E4D" w:rsidP="00A52E4D">
      <w:pPr>
        <w:pStyle w:val="FootnoteText"/>
        <w:rPr>
          <w:lang w:val="en-US"/>
        </w:rPr>
      </w:pPr>
      <w:r>
        <w:rPr>
          <w:rStyle w:val="FootnoteReference"/>
        </w:rPr>
        <w:footnoteRef/>
      </w:r>
      <w:r>
        <w:t xml:space="preserve"> </w:t>
      </w:r>
      <w:r>
        <w:rPr>
          <w:lang w:val="en-US"/>
        </w:rPr>
        <w:t xml:space="preserve">ICCT. (2012). Cost benefits of clean technologies for bus rapid transit (BRT): Summary of results for Kampala, July 2012 (DRAFT version 7/25/12) </w:t>
      </w:r>
    </w:p>
  </w:footnote>
  <w:footnote w:id="2">
    <w:p w:rsidR="00A52E4D" w:rsidRPr="006A6315" w:rsidRDefault="00A52E4D" w:rsidP="00A52E4D">
      <w:pPr>
        <w:pStyle w:val="FootnoteText"/>
        <w:rPr>
          <w:lang w:val="en-US"/>
        </w:rPr>
      </w:pPr>
      <w:r>
        <w:rPr>
          <w:rStyle w:val="FootnoteReference"/>
        </w:rPr>
        <w:footnoteRef/>
      </w:r>
      <w:r>
        <w:t xml:space="preserve"> </w:t>
      </w:r>
      <w:r w:rsidRPr="00490B4A">
        <w:rPr>
          <w:sz w:val="20"/>
          <w:szCs w:val="20"/>
          <w:lang w:val="en-US"/>
        </w:rPr>
        <w:t>Lwasa, S. (201</w:t>
      </w:r>
      <w:r w:rsidRPr="00E02DE6">
        <w:rPr>
          <w:i/>
          <w:sz w:val="20"/>
          <w:szCs w:val="20"/>
          <w:lang w:val="en-US"/>
        </w:rPr>
        <w:t>3). 2012</w:t>
      </w:r>
      <w:r>
        <w:rPr>
          <w:sz w:val="20"/>
          <w:szCs w:val="20"/>
          <w:lang w:val="en-US"/>
        </w:rPr>
        <w:t xml:space="preserve"> </w:t>
      </w:r>
      <w:r w:rsidRPr="00490B4A">
        <w:rPr>
          <w:bCs/>
          <w:i/>
          <w:sz w:val="20"/>
          <w:szCs w:val="20"/>
          <w:lang w:val="en-US"/>
        </w:rPr>
        <w:t>Greenhouse Gas Emissions Inventory for Kampala City and Metropolitan Region</w:t>
      </w:r>
      <w:r w:rsidRPr="00490B4A">
        <w:rPr>
          <w:bCs/>
          <w:sz w:val="20"/>
          <w:szCs w:val="20"/>
          <w:lang w:val="en-US"/>
        </w:rPr>
        <w:t>, UNEP Habitat.</w:t>
      </w:r>
    </w:p>
  </w:footnote>
  <w:footnote w:id="3">
    <w:p w:rsidR="00420375" w:rsidRPr="00C61078" w:rsidRDefault="00420375" w:rsidP="00420375">
      <w:pPr>
        <w:widowControl w:val="0"/>
        <w:autoSpaceDE w:val="0"/>
        <w:autoSpaceDN w:val="0"/>
        <w:adjustRightInd w:val="0"/>
        <w:spacing w:line="240" w:lineRule="auto"/>
        <w:rPr>
          <w:rFonts w:eastAsia="Calibri" w:cs="Arial"/>
          <w:sz w:val="20"/>
          <w:szCs w:val="20"/>
          <w:lang w:val="en-US" w:eastAsia="en-US"/>
        </w:rPr>
      </w:pPr>
      <w:r w:rsidRPr="00C61078">
        <w:rPr>
          <w:rStyle w:val="FootnoteReference"/>
          <w:rFonts w:cs="Arial"/>
          <w:sz w:val="20"/>
          <w:szCs w:val="20"/>
        </w:rPr>
        <w:footnoteRef/>
      </w:r>
      <w:r w:rsidRPr="00C61078">
        <w:rPr>
          <w:rFonts w:cs="Arial"/>
          <w:sz w:val="20"/>
          <w:szCs w:val="20"/>
        </w:rPr>
        <w:t xml:space="preserve"> </w:t>
      </w:r>
      <w:r w:rsidRPr="00C61078">
        <w:rPr>
          <w:rFonts w:eastAsia="Calibri" w:cs="Arial"/>
          <w:sz w:val="20"/>
          <w:szCs w:val="20"/>
          <w:lang w:val="en-US" w:eastAsia="en-US"/>
        </w:rPr>
        <w:t xml:space="preserve">Arikan, Y.,Desai R., Pankaj Bhatia, P. and Wee, K. F. (2012) </w:t>
      </w:r>
      <w:r w:rsidRPr="00C61078">
        <w:rPr>
          <w:rFonts w:cs="Arial"/>
          <w:i/>
          <w:sz w:val="20"/>
          <w:szCs w:val="20"/>
          <w:lang w:val="en-US"/>
        </w:rPr>
        <w:t>Global Protocol for Community-scale Greenhouse Gas Emission (GPC). Pilot Version 1.0</w:t>
      </w:r>
      <w:r w:rsidRPr="00C61078">
        <w:rPr>
          <w:rFonts w:cs="Arial"/>
          <w:sz w:val="20"/>
          <w:szCs w:val="20"/>
          <w:lang w:val="en-US"/>
        </w:rPr>
        <w:t xml:space="preserve">. Prepared by </w:t>
      </w:r>
      <w:r w:rsidRPr="00C61078">
        <w:rPr>
          <w:rFonts w:eastAsia="Calibri" w:cs="Arial"/>
          <w:sz w:val="20"/>
          <w:szCs w:val="20"/>
          <w:lang w:val="en-US" w:eastAsia="en-US"/>
        </w:rPr>
        <w:t>C40 Cities Climate Leadership Group and ICLEI Local Governments for Sustainability in collaboration with: World Resources Institute, World Bank, UNEP, and UN-HABITAT.</w:t>
      </w:r>
      <w:r w:rsidRPr="00C61078">
        <w:rPr>
          <w:rFonts w:cs="Arial"/>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7CD"/>
    <w:multiLevelType w:val="hybridMultilevel"/>
    <w:tmpl w:val="00AA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B3A91"/>
    <w:multiLevelType w:val="hybridMultilevel"/>
    <w:tmpl w:val="3ABE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A092D"/>
    <w:multiLevelType w:val="hybridMultilevel"/>
    <w:tmpl w:val="60C2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17ADC"/>
    <w:multiLevelType w:val="hybridMultilevel"/>
    <w:tmpl w:val="5500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66A29"/>
    <w:multiLevelType w:val="hybridMultilevel"/>
    <w:tmpl w:val="D6CE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E5A34"/>
    <w:multiLevelType w:val="hybridMultilevel"/>
    <w:tmpl w:val="7CE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70C1"/>
    <w:multiLevelType w:val="hybridMultilevel"/>
    <w:tmpl w:val="C540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D0602"/>
    <w:multiLevelType w:val="hybridMultilevel"/>
    <w:tmpl w:val="BC5A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A6462"/>
    <w:multiLevelType w:val="hybridMultilevel"/>
    <w:tmpl w:val="A5C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B45D6"/>
    <w:multiLevelType w:val="hybridMultilevel"/>
    <w:tmpl w:val="F5CADD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781353D"/>
    <w:multiLevelType w:val="hybridMultilevel"/>
    <w:tmpl w:val="26446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8352D9D"/>
    <w:multiLevelType w:val="hybridMultilevel"/>
    <w:tmpl w:val="562C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A121B"/>
    <w:multiLevelType w:val="hybridMultilevel"/>
    <w:tmpl w:val="9856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22EA3"/>
    <w:multiLevelType w:val="hybridMultilevel"/>
    <w:tmpl w:val="C97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55AA3"/>
    <w:multiLevelType w:val="hybridMultilevel"/>
    <w:tmpl w:val="E83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ED4F08"/>
    <w:multiLevelType w:val="hybridMultilevel"/>
    <w:tmpl w:val="94D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4"/>
  </w:num>
  <w:num w:numId="5">
    <w:abstractNumId w:val="7"/>
  </w:num>
  <w:num w:numId="6">
    <w:abstractNumId w:val="8"/>
  </w:num>
  <w:num w:numId="7">
    <w:abstractNumId w:val="2"/>
  </w:num>
  <w:num w:numId="8">
    <w:abstractNumId w:val="15"/>
  </w:num>
  <w:num w:numId="9">
    <w:abstractNumId w:val="13"/>
  </w:num>
  <w:num w:numId="10">
    <w:abstractNumId w:val="12"/>
  </w:num>
  <w:num w:numId="11">
    <w:abstractNumId w:val="1"/>
  </w:num>
  <w:num w:numId="12">
    <w:abstractNumId w:val="4"/>
  </w:num>
  <w:num w:numId="13">
    <w:abstractNumId w:val="0"/>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20"/>
    <w:rsid w:val="000819BC"/>
    <w:rsid w:val="00132F85"/>
    <w:rsid w:val="00165DEF"/>
    <w:rsid w:val="001C10BA"/>
    <w:rsid w:val="001C4B24"/>
    <w:rsid w:val="001F635A"/>
    <w:rsid w:val="00265F1B"/>
    <w:rsid w:val="00276A15"/>
    <w:rsid w:val="00287979"/>
    <w:rsid w:val="002A2D5A"/>
    <w:rsid w:val="00300EF9"/>
    <w:rsid w:val="0031498A"/>
    <w:rsid w:val="003A1197"/>
    <w:rsid w:val="00406FD6"/>
    <w:rsid w:val="00420375"/>
    <w:rsid w:val="00430F5E"/>
    <w:rsid w:val="00486440"/>
    <w:rsid w:val="004D02FC"/>
    <w:rsid w:val="004D05BA"/>
    <w:rsid w:val="004F4CFA"/>
    <w:rsid w:val="00544AAE"/>
    <w:rsid w:val="005D11A0"/>
    <w:rsid w:val="005F76D3"/>
    <w:rsid w:val="00684A38"/>
    <w:rsid w:val="006D5DDD"/>
    <w:rsid w:val="007049C5"/>
    <w:rsid w:val="007172F2"/>
    <w:rsid w:val="00791778"/>
    <w:rsid w:val="007A255D"/>
    <w:rsid w:val="007D7EF9"/>
    <w:rsid w:val="007E54A3"/>
    <w:rsid w:val="00804D4C"/>
    <w:rsid w:val="0087611B"/>
    <w:rsid w:val="00893E84"/>
    <w:rsid w:val="008E5417"/>
    <w:rsid w:val="00932BC7"/>
    <w:rsid w:val="00945FE3"/>
    <w:rsid w:val="00964269"/>
    <w:rsid w:val="00A12B3B"/>
    <w:rsid w:val="00A35C6C"/>
    <w:rsid w:val="00A52E4D"/>
    <w:rsid w:val="00A67620"/>
    <w:rsid w:val="00AB30FC"/>
    <w:rsid w:val="00AE1A20"/>
    <w:rsid w:val="00B232D7"/>
    <w:rsid w:val="00B31E9B"/>
    <w:rsid w:val="00B36A84"/>
    <w:rsid w:val="00B84703"/>
    <w:rsid w:val="00B86613"/>
    <w:rsid w:val="00B930D4"/>
    <w:rsid w:val="00C75E24"/>
    <w:rsid w:val="00CF07C7"/>
    <w:rsid w:val="00DC2971"/>
    <w:rsid w:val="00EB3518"/>
    <w:rsid w:val="00ED2E6F"/>
    <w:rsid w:val="00EF2149"/>
    <w:rsid w:val="00FF025B"/>
    <w:rsid w:val="00FF25CA"/>
    <w:rsid w:val="00FF68BD"/>
    <w:rsid w:val="00FF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CE4C3-F407-470A-A909-044A8B8C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BD"/>
    <w:pPr>
      <w:spacing w:after="0" w:line="340" w:lineRule="auto"/>
      <w:jc w:val="both"/>
    </w:pPr>
    <w:rPr>
      <w:rFonts w:eastAsia="Times New Roman" w:cs="Times New Roman"/>
      <w:sz w:val="24"/>
      <w:szCs w:val="24"/>
      <w:lang w:eastAsia="de-DE"/>
    </w:rPr>
  </w:style>
  <w:style w:type="paragraph" w:styleId="Heading2">
    <w:name w:val="heading 2"/>
    <w:basedOn w:val="Normal"/>
    <w:next w:val="Normal"/>
    <w:link w:val="Heading2Char"/>
    <w:uiPriority w:val="9"/>
    <w:unhideWhenUsed/>
    <w:qFormat/>
    <w:rsid w:val="00A67620"/>
    <w:pPr>
      <w:keepNext/>
      <w:keepLines/>
      <w:spacing w:before="20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620"/>
    <w:rPr>
      <w:rFonts w:ascii="Arial" w:eastAsiaTheme="majorEastAsia" w:hAnsi="Arial" w:cstheme="majorBidi"/>
      <w:b/>
      <w:bCs/>
      <w:szCs w:val="26"/>
      <w:lang w:eastAsia="de-DE"/>
    </w:rPr>
  </w:style>
  <w:style w:type="paragraph" w:styleId="FootnoteText">
    <w:name w:val="footnote text"/>
    <w:aliases w:val="-E Fußnotentext,Fußnotentext Ursprung,Char"/>
    <w:basedOn w:val="Normal"/>
    <w:link w:val="FootnoteTextChar1"/>
    <w:uiPriority w:val="99"/>
    <w:rsid w:val="00A67620"/>
    <w:pPr>
      <w:spacing w:line="240" w:lineRule="auto"/>
    </w:pPr>
    <w:rPr>
      <w:sz w:val="18"/>
    </w:rPr>
  </w:style>
  <w:style w:type="character" w:customStyle="1" w:styleId="FootnoteTextChar">
    <w:name w:val="Footnote Text Char"/>
    <w:basedOn w:val="DefaultParagraphFont"/>
    <w:uiPriority w:val="99"/>
    <w:semiHidden/>
    <w:rsid w:val="00A67620"/>
    <w:rPr>
      <w:rFonts w:ascii="Arial" w:eastAsia="Times New Roman" w:hAnsi="Arial" w:cs="Times New Roman"/>
      <w:sz w:val="20"/>
      <w:szCs w:val="20"/>
      <w:lang w:eastAsia="de-DE"/>
    </w:rPr>
  </w:style>
  <w:style w:type="character" w:customStyle="1" w:styleId="FootnoteTextChar1">
    <w:name w:val="Footnote Text Char1"/>
    <w:aliases w:val="-E Fußnotentext Char,Fußnotentext Ursprung Char,Char Char"/>
    <w:link w:val="FootnoteText"/>
    <w:uiPriority w:val="99"/>
    <w:locked/>
    <w:rsid w:val="00A67620"/>
    <w:rPr>
      <w:rFonts w:ascii="Arial" w:eastAsia="Times New Roman" w:hAnsi="Arial" w:cs="Times New Roman"/>
      <w:sz w:val="18"/>
      <w:szCs w:val="24"/>
      <w:lang w:eastAsia="de-DE"/>
    </w:rPr>
  </w:style>
  <w:style w:type="paragraph" w:styleId="ListParagraph">
    <w:name w:val="List Paragraph"/>
    <w:basedOn w:val="Normal"/>
    <w:link w:val="ListParagraphChar"/>
    <w:uiPriority w:val="34"/>
    <w:qFormat/>
    <w:rsid w:val="00A6762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7620"/>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locked/>
    <w:rsid w:val="00A67620"/>
    <w:rPr>
      <w:rFonts w:ascii="Calibri" w:eastAsia="Calibri" w:hAnsi="Calibri" w:cs="Times New Roman"/>
    </w:rPr>
  </w:style>
  <w:style w:type="character" w:styleId="FootnoteReference">
    <w:name w:val="footnote reference"/>
    <w:basedOn w:val="DefaultParagraphFont"/>
    <w:uiPriority w:val="99"/>
    <w:unhideWhenUsed/>
    <w:rsid w:val="00A67620"/>
    <w:rPr>
      <w:vertAlign w:val="superscript"/>
    </w:rPr>
  </w:style>
  <w:style w:type="paragraph" w:styleId="BalloonText">
    <w:name w:val="Balloon Text"/>
    <w:basedOn w:val="Normal"/>
    <w:link w:val="BalloonTextChar"/>
    <w:uiPriority w:val="99"/>
    <w:semiHidden/>
    <w:unhideWhenUsed/>
    <w:rsid w:val="007A2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5D"/>
    <w:rPr>
      <w:rFonts w:ascii="Tahoma" w:eastAsia="Times New Roman" w:hAnsi="Tahoma" w:cs="Tahoma"/>
      <w:sz w:val="16"/>
      <w:szCs w:val="16"/>
      <w:lang w:eastAsia="de-DE"/>
    </w:rPr>
  </w:style>
  <w:style w:type="paragraph" w:styleId="Header">
    <w:name w:val="header"/>
    <w:basedOn w:val="Normal"/>
    <w:link w:val="HeaderChar"/>
    <w:uiPriority w:val="99"/>
    <w:unhideWhenUsed/>
    <w:rsid w:val="007A255D"/>
    <w:pPr>
      <w:tabs>
        <w:tab w:val="center" w:pos="4680"/>
        <w:tab w:val="right" w:pos="9360"/>
      </w:tabs>
      <w:spacing w:line="240" w:lineRule="auto"/>
    </w:pPr>
  </w:style>
  <w:style w:type="character" w:customStyle="1" w:styleId="HeaderChar">
    <w:name w:val="Header Char"/>
    <w:basedOn w:val="DefaultParagraphFont"/>
    <w:link w:val="Header"/>
    <w:uiPriority w:val="99"/>
    <w:rsid w:val="007A255D"/>
    <w:rPr>
      <w:rFonts w:ascii="Arial" w:eastAsia="Times New Roman" w:hAnsi="Arial" w:cs="Times New Roman"/>
      <w:sz w:val="24"/>
      <w:szCs w:val="24"/>
      <w:lang w:eastAsia="de-DE"/>
    </w:rPr>
  </w:style>
  <w:style w:type="paragraph" w:styleId="Footer">
    <w:name w:val="footer"/>
    <w:basedOn w:val="Normal"/>
    <w:link w:val="FooterChar"/>
    <w:uiPriority w:val="99"/>
    <w:unhideWhenUsed/>
    <w:rsid w:val="007A255D"/>
    <w:pPr>
      <w:tabs>
        <w:tab w:val="center" w:pos="4680"/>
        <w:tab w:val="right" w:pos="9360"/>
      </w:tabs>
      <w:spacing w:line="240" w:lineRule="auto"/>
    </w:pPr>
  </w:style>
  <w:style w:type="character" w:customStyle="1" w:styleId="FooterChar">
    <w:name w:val="Footer Char"/>
    <w:basedOn w:val="DefaultParagraphFont"/>
    <w:link w:val="Footer"/>
    <w:uiPriority w:val="99"/>
    <w:rsid w:val="007A255D"/>
    <w:rPr>
      <w:rFonts w:ascii="Arial" w:eastAsia="Times New Roman" w:hAnsi="Arial" w:cs="Times New Roman"/>
      <w:sz w:val="24"/>
      <w:szCs w:val="24"/>
      <w:lang w:eastAsia="de-DE"/>
    </w:rPr>
  </w:style>
  <w:style w:type="table" w:styleId="TableGrid">
    <w:name w:val="Table Grid"/>
    <w:basedOn w:val="TableNormal"/>
    <w:uiPriority w:val="39"/>
    <w:rsid w:val="00B84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2BC7"/>
    <w:pPr>
      <w:spacing w:after="0" w:line="240" w:lineRule="auto"/>
      <w:jc w:val="both"/>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099F0-9901-447C-B519-9CCC005D51F1}"/>
</file>

<file path=customXml/itemProps2.xml><?xml version="1.0" encoding="utf-8"?>
<ds:datastoreItem xmlns:ds="http://schemas.openxmlformats.org/officeDocument/2006/customXml" ds:itemID="{08FC4BAD-77A4-416A-8B5B-965ABA490D93}"/>
</file>

<file path=customXml/itemProps3.xml><?xml version="1.0" encoding="utf-8"?>
<ds:datastoreItem xmlns:ds="http://schemas.openxmlformats.org/officeDocument/2006/customXml" ds:itemID="{F4779A45-5D84-45A3-B9AD-1DE7BE366D2A}"/>
</file>

<file path=customXml/itemProps4.xml><?xml version="1.0" encoding="utf-8"?>
<ds:datastoreItem xmlns:ds="http://schemas.openxmlformats.org/officeDocument/2006/customXml" ds:itemID="{C34858A8-0034-4A70-9B34-493969606F7A}"/>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Frederik Staun</cp:lastModifiedBy>
  <cp:revision>2</cp:revision>
  <dcterms:created xsi:type="dcterms:W3CDTF">2014-11-28T08:50:00Z</dcterms:created>
  <dcterms:modified xsi:type="dcterms:W3CDTF">2014-11-28T08:50:00Z</dcterms:modified>
</cp:coreProperties>
</file>