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9D127" w14:textId="77777777" w:rsidR="00312C74" w:rsidRPr="008D652E" w:rsidRDefault="009822C9" w:rsidP="006C2998">
      <w:pPr>
        <w:framePr w:w="6841" w:h="898" w:hSpace="180" w:wrap="around" w:vAnchor="text" w:hAnchor="page" w:x="3601" w:y="-356"/>
        <w:autoSpaceDE w:val="0"/>
        <w:autoSpaceDN w:val="0"/>
        <w:adjustRightInd w:val="0"/>
        <w:ind w:right="-900"/>
        <w:rPr>
          <w:b/>
          <w:bCs/>
          <w:caps/>
          <w:color w:val="000000"/>
          <w:sz w:val="30"/>
          <w:szCs w:val="30"/>
        </w:rPr>
      </w:pPr>
      <w:bookmarkStart w:id="0" w:name="_GoBack"/>
      <w:bookmarkEnd w:id="0"/>
      <w:r w:rsidRPr="008723E7">
        <w:rPr>
          <w:b/>
          <w:bCs/>
          <w:caps/>
          <w:color w:val="000000"/>
          <w:sz w:val="30"/>
          <w:szCs w:val="30"/>
        </w:rPr>
        <w:t>Project Identification Form</w:t>
      </w:r>
      <w:r w:rsidR="009D3C35" w:rsidRPr="008723E7">
        <w:rPr>
          <w:b/>
          <w:bCs/>
          <w:caps/>
          <w:color w:val="000000"/>
          <w:sz w:val="30"/>
          <w:szCs w:val="30"/>
        </w:rPr>
        <w:t xml:space="preserve"> (PIF)</w:t>
      </w:r>
      <w:r w:rsidR="005B5C1D" w:rsidRPr="008723E7">
        <w:rPr>
          <w:rStyle w:val="FootnoteReference"/>
          <w:b/>
          <w:bCs/>
          <w:caps/>
          <w:color w:val="000000"/>
          <w:sz w:val="30"/>
          <w:szCs w:val="30"/>
        </w:rPr>
        <w:t xml:space="preserve"> </w:t>
      </w:r>
    </w:p>
    <w:p w14:paraId="59298408" w14:textId="77777777" w:rsidR="009822C9" w:rsidRPr="007E3AFB" w:rsidRDefault="00FF3B3C" w:rsidP="006C2998">
      <w:pPr>
        <w:framePr w:w="6841" w:h="898" w:hSpace="180" w:wrap="around" w:vAnchor="text" w:hAnchor="page" w:x="3601" w:y="-356"/>
        <w:autoSpaceDE w:val="0"/>
        <w:autoSpaceDN w:val="0"/>
        <w:adjustRightInd w:val="0"/>
        <w:rPr>
          <w:bCs/>
          <w:color w:val="000000"/>
          <w:sz w:val="20"/>
          <w:szCs w:val="20"/>
        </w:rPr>
      </w:pPr>
      <w:bookmarkStart w:id="1" w:name="Dropdown7"/>
      <w:r w:rsidRPr="007E3AFB">
        <w:rPr>
          <w:b/>
          <w:bCs/>
          <w:smallCaps/>
          <w:color w:val="000000"/>
          <w:sz w:val="20"/>
          <w:szCs w:val="20"/>
        </w:rPr>
        <w:t xml:space="preserve">Project Type: </w:t>
      </w:r>
      <w:bookmarkEnd w:id="1"/>
      <w:r w:rsidR="006D0AB6">
        <w:rPr>
          <w:b/>
          <w:bCs/>
          <w:smallCaps/>
          <w:color w:val="000000"/>
          <w:sz w:val="20"/>
          <w:szCs w:val="20"/>
        </w:rPr>
        <w:t>Full-sized Project</w:t>
      </w:r>
      <w:r w:rsidR="008F6AE7" w:rsidRPr="007E3AFB">
        <w:rPr>
          <w:bCs/>
          <w:smallCaps/>
          <w:color w:val="000000"/>
          <w:sz w:val="20"/>
          <w:szCs w:val="20"/>
        </w:rPr>
        <w:t xml:space="preserve"> </w:t>
      </w:r>
    </w:p>
    <w:p w14:paraId="28BB0FF5" w14:textId="77777777" w:rsidR="00FD42D8" w:rsidRPr="007E3AFB" w:rsidRDefault="00FD42D8" w:rsidP="00FD42D8">
      <w:pPr>
        <w:framePr w:w="6841" w:h="898" w:hSpace="180" w:wrap="around" w:vAnchor="text" w:hAnchor="page" w:x="3601" w:y="-356"/>
        <w:autoSpaceDE w:val="0"/>
        <w:autoSpaceDN w:val="0"/>
        <w:adjustRightInd w:val="0"/>
        <w:rPr>
          <w:b/>
          <w:bCs/>
          <w:sz w:val="20"/>
          <w:szCs w:val="20"/>
        </w:rPr>
      </w:pPr>
      <w:r w:rsidRPr="007E3AFB">
        <w:rPr>
          <w:b/>
          <w:bCs/>
          <w:smallCaps/>
          <w:sz w:val="20"/>
          <w:szCs w:val="20"/>
        </w:rPr>
        <w:t xml:space="preserve">Type of Trust </w:t>
      </w:r>
      <w:proofErr w:type="spellStart"/>
      <w:r w:rsidRPr="007E3AFB">
        <w:rPr>
          <w:b/>
          <w:bCs/>
          <w:smallCaps/>
          <w:sz w:val="20"/>
          <w:szCs w:val="20"/>
        </w:rPr>
        <w:t>Fund</w:t>
      </w:r>
      <w:proofErr w:type="gramStart"/>
      <w:r w:rsidRPr="007E3AFB">
        <w:rPr>
          <w:b/>
          <w:bCs/>
          <w:smallCaps/>
          <w:sz w:val="20"/>
          <w:szCs w:val="20"/>
        </w:rPr>
        <w:t>:</w:t>
      </w:r>
      <w:r w:rsidR="006D0AB6">
        <w:rPr>
          <w:b/>
          <w:bCs/>
          <w:smallCaps/>
          <w:sz w:val="20"/>
          <w:szCs w:val="20"/>
        </w:rPr>
        <w:t>GEF</w:t>
      </w:r>
      <w:proofErr w:type="spellEnd"/>
      <w:proofErr w:type="gramEnd"/>
      <w:r w:rsidR="006D0AB6">
        <w:rPr>
          <w:b/>
          <w:bCs/>
          <w:smallCaps/>
          <w:sz w:val="20"/>
          <w:szCs w:val="20"/>
        </w:rPr>
        <w:t xml:space="preserve"> Trust Fund</w:t>
      </w:r>
    </w:p>
    <w:p w14:paraId="2B5FF6CF" w14:textId="77777777" w:rsidR="007D2C99" w:rsidRDefault="009D40EF" w:rsidP="007D2C99">
      <w:pPr>
        <w:pStyle w:val="Footer"/>
        <w:tabs>
          <w:tab w:val="clear" w:pos="4320"/>
          <w:tab w:val="clear" w:pos="8640"/>
        </w:tabs>
        <w:rPr>
          <w:b/>
          <w:caps/>
          <w:sz w:val="22"/>
          <w:szCs w:val="22"/>
          <w:u w:val="single"/>
        </w:rPr>
      </w:pPr>
      <w:r>
        <w:rPr>
          <w:noProof/>
          <w:sz w:val="20"/>
          <w:szCs w:val="20"/>
        </w:rPr>
        <w:t xml:space="preserve">           For more information about GEF, visit </w:t>
      </w:r>
      <w:r w:rsidRPr="006D0AB6">
        <w:rPr>
          <w:noProof/>
          <w:sz w:val="20"/>
          <w:szCs w:val="20"/>
        </w:rPr>
        <w:t>TheGEF.org</w:t>
      </w:r>
      <w:r w:rsidR="00FE375E">
        <w:rPr>
          <w:noProof/>
        </w:rPr>
        <w:drawing>
          <wp:anchor distT="0" distB="0" distL="114300" distR="114300" simplePos="0" relativeHeight="251657728" behindDoc="0" locked="0" layoutInCell="1" allowOverlap="1" wp14:anchorId="2DB5318C" wp14:editId="1B3A8EF8">
            <wp:simplePos x="0" y="0"/>
            <wp:positionH relativeFrom="column">
              <wp:posOffset>266700</wp:posOffset>
            </wp:positionH>
            <wp:positionV relativeFrom="paragraph">
              <wp:posOffset>-332740</wp:posOffset>
            </wp:positionV>
            <wp:extent cx="723900" cy="741680"/>
            <wp:effectExtent l="0" t="0" r="12700" b="0"/>
            <wp:wrapSquare wrapText="bothSides"/>
            <wp:docPr id="20" name="Picture 1" descr="Description: M:\Communications_GEFEXT\Logos\GEF-newlogo-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Communications_GEFEXT\Logos\GEF-newlogo-sh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41680"/>
                    </a:xfrm>
                    <a:prstGeom prst="rect">
                      <a:avLst/>
                    </a:prstGeom>
                    <a:noFill/>
                  </pic:spPr>
                </pic:pic>
              </a:graphicData>
            </a:graphic>
          </wp:anchor>
        </w:drawing>
      </w:r>
      <w:r w:rsidR="006D0AB6">
        <w:rPr>
          <w:noProof/>
          <w:sz w:val="20"/>
          <w:szCs w:val="20"/>
        </w:rPr>
        <w:t xml:space="preserve"> </w:t>
      </w:r>
    </w:p>
    <w:p w14:paraId="1B8C1DA5" w14:textId="77777777" w:rsidR="000B13C8" w:rsidRPr="00661A08" w:rsidRDefault="000B13C8" w:rsidP="007D2C99">
      <w:pPr>
        <w:pStyle w:val="Footer"/>
        <w:tabs>
          <w:tab w:val="clear" w:pos="4320"/>
          <w:tab w:val="clear" w:pos="8640"/>
        </w:tabs>
        <w:ind w:left="-540"/>
        <w:rPr>
          <w:b/>
          <w:caps/>
          <w:color w:val="00B0F0"/>
          <w:sz w:val="22"/>
          <w:szCs w:val="22"/>
          <w:u w:val="single"/>
        </w:rPr>
      </w:pPr>
      <w:r w:rsidRPr="00661A08">
        <w:rPr>
          <w:b/>
          <w:caps/>
          <w:color w:val="00B0F0"/>
          <w:sz w:val="22"/>
          <w:szCs w:val="22"/>
          <w:u w:val="single"/>
        </w:rPr>
        <w:t>PART I: Project I</w:t>
      </w:r>
      <w:r w:rsidR="00616D13">
        <w:rPr>
          <w:b/>
          <w:caps/>
          <w:color w:val="00B0F0"/>
          <w:sz w:val="22"/>
          <w:szCs w:val="22"/>
          <w:u w:val="single"/>
        </w:rPr>
        <w:t>nformation</w:t>
      </w:r>
    </w:p>
    <w:tbl>
      <w:tblPr>
        <w:tblW w:w="5465"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151"/>
        <w:gridCol w:w="2430"/>
        <w:gridCol w:w="2349"/>
      </w:tblGrid>
      <w:tr w:rsidR="00097611" w:rsidRPr="007E3AFB" w14:paraId="50F0F7D6" w14:textId="77777777" w:rsidTr="00454655">
        <w:tc>
          <w:tcPr>
            <w:tcW w:w="1212" w:type="pct"/>
          </w:tcPr>
          <w:p w14:paraId="695A107D" w14:textId="77777777" w:rsidR="00097611" w:rsidRPr="00077A08" w:rsidRDefault="00097611" w:rsidP="00097611">
            <w:pPr>
              <w:rPr>
                <w:sz w:val="20"/>
                <w:szCs w:val="20"/>
              </w:rPr>
            </w:pPr>
            <w:r w:rsidRPr="00077A08">
              <w:rPr>
                <w:sz w:val="20"/>
                <w:szCs w:val="20"/>
              </w:rPr>
              <w:t>Project Title:</w:t>
            </w:r>
          </w:p>
        </w:tc>
        <w:tc>
          <w:tcPr>
            <w:tcW w:w="3788" w:type="pct"/>
            <w:gridSpan w:val="3"/>
          </w:tcPr>
          <w:p w14:paraId="3F378B8A" w14:textId="77777777" w:rsidR="00097611" w:rsidRPr="007E3AFB" w:rsidRDefault="000301E4" w:rsidP="005515A7">
            <w:pPr>
              <w:rPr>
                <w:noProof/>
                <w:sz w:val="20"/>
                <w:szCs w:val="20"/>
              </w:rPr>
            </w:pPr>
            <w:r w:rsidRPr="00077A08">
              <w:rPr>
                <w:noProof/>
                <w:sz w:val="20"/>
                <w:szCs w:val="20"/>
              </w:rPr>
              <w:t>Nationally Appropriate Mitigation Actions (NAMAs) for low-carbon end-use sectors in Azerbaijan</w:t>
            </w:r>
          </w:p>
        </w:tc>
      </w:tr>
      <w:tr w:rsidR="0064621B" w:rsidRPr="007E3AFB" w14:paraId="232B7A6D" w14:textId="77777777" w:rsidTr="00454655">
        <w:tc>
          <w:tcPr>
            <w:tcW w:w="1212" w:type="pct"/>
          </w:tcPr>
          <w:p w14:paraId="4760AA41" w14:textId="77777777" w:rsidR="0064621B" w:rsidRPr="007E3AFB" w:rsidRDefault="0064621B" w:rsidP="00097611">
            <w:pPr>
              <w:rPr>
                <w:sz w:val="20"/>
                <w:szCs w:val="20"/>
              </w:rPr>
            </w:pPr>
            <w:r w:rsidRPr="007E3AFB">
              <w:rPr>
                <w:sz w:val="20"/>
                <w:szCs w:val="20"/>
              </w:rPr>
              <w:t>Country(</w:t>
            </w:r>
            <w:proofErr w:type="spellStart"/>
            <w:r w:rsidRPr="007E3AFB">
              <w:rPr>
                <w:sz w:val="20"/>
                <w:szCs w:val="20"/>
              </w:rPr>
              <w:t>ies</w:t>
            </w:r>
            <w:proofErr w:type="spellEnd"/>
            <w:r w:rsidRPr="007E3AFB">
              <w:rPr>
                <w:sz w:val="20"/>
                <w:szCs w:val="20"/>
              </w:rPr>
              <w:t>):</w:t>
            </w:r>
          </w:p>
        </w:tc>
        <w:tc>
          <w:tcPr>
            <w:tcW w:w="1505" w:type="pct"/>
          </w:tcPr>
          <w:p w14:paraId="62704D76" w14:textId="77777777" w:rsidR="0064621B" w:rsidRPr="007E3AFB" w:rsidRDefault="005515A7" w:rsidP="005515A7">
            <w:pPr>
              <w:rPr>
                <w:sz w:val="20"/>
                <w:szCs w:val="20"/>
              </w:rPr>
            </w:pPr>
            <w:bookmarkStart w:id="2" w:name="countries"/>
            <w:r>
              <w:rPr>
                <w:noProof/>
                <w:sz w:val="20"/>
                <w:szCs w:val="20"/>
              </w:rPr>
              <w:t>Azerbaijan</w:t>
            </w:r>
            <w:bookmarkEnd w:id="2"/>
          </w:p>
        </w:tc>
        <w:tc>
          <w:tcPr>
            <w:tcW w:w="1161" w:type="pct"/>
          </w:tcPr>
          <w:p w14:paraId="09589D82" w14:textId="77777777" w:rsidR="0064621B" w:rsidRPr="007E3AFB" w:rsidRDefault="0064621B" w:rsidP="00653590">
            <w:pPr>
              <w:rPr>
                <w:sz w:val="20"/>
                <w:szCs w:val="20"/>
              </w:rPr>
            </w:pPr>
            <w:r w:rsidRPr="007E3AFB">
              <w:rPr>
                <w:sz w:val="20"/>
                <w:szCs w:val="20"/>
              </w:rPr>
              <w:t>GEF Project ID:</w:t>
            </w:r>
            <w:r w:rsidRPr="007E3AFB">
              <w:rPr>
                <w:sz w:val="20"/>
                <w:szCs w:val="20"/>
                <w:vertAlign w:val="superscript"/>
              </w:rPr>
              <w:footnoteReference w:id="1"/>
            </w:r>
          </w:p>
        </w:tc>
        <w:tc>
          <w:tcPr>
            <w:tcW w:w="1121" w:type="pct"/>
          </w:tcPr>
          <w:p w14:paraId="279F3E73" w14:textId="0B1B7DC9" w:rsidR="0064621B" w:rsidRPr="007E3AFB" w:rsidRDefault="00713EDA" w:rsidP="004014D6">
            <w:pPr>
              <w:rPr>
                <w:sz w:val="20"/>
                <w:szCs w:val="20"/>
              </w:rPr>
            </w:pPr>
            <w:bookmarkStart w:id="3" w:name="GEF_ID"/>
            <w:r>
              <w:rPr>
                <w:noProof/>
                <w:sz w:val="20"/>
                <w:szCs w:val="20"/>
              </w:rPr>
              <w:t>5291</w:t>
            </w:r>
            <w:r w:rsidR="006D0AB6">
              <w:rPr>
                <w:noProof/>
                <w:sz w:val="20"/>
                <w:szCs w:val="20"/>
              </w:rPr>
              <w:t xml:space="preserve">    </w:t>
            </w:r>
            <w:bookmarkEnd w:id="3"/>
          </w:p>
        </w:tc>
      </w:tr>
      <w:tr w:rsidR="0064621B" w:rsidRPr="007E3AFB" w14:paraId="0D715DBB" w14:textId="77777777" w:rsidTr="00454655">
        <w:tc>
          <w:tcPr>
            <w:tcW w:w="1212" w:type="pct"/>
          </w:tcPr>
          <w:p w14:paraId="5604675C" w14:textId="77777777" w:rsidR="0064621B" w:rsidRPr="007E3AFB" w:rsidRDefault="0064621B" w:rsidP="00097611">
            <w:pPr>
              <w:rPr>
                <w:sz w:val="20"/>
                <w:szCs w:val="20"/>
              </w:rPr>
            </w:pPr>
            <w:r w:rsidRPr="007E3AFB">
              <w:rPr>
                <w:sz w:val="20"/>
                <w:szCs w:val="20"/>
              </w:rPr>
              <w:t>GEF Agency(</w:t>
            </w:r>
            <w:proofErr w:type="spellStart"/>
            <w:r w:rsidRPr="007E3AFB">
              <w:rPr>
                <w:sz w:val="20"/>
                <w:szCs w:val="20"/>
              </w:rPr>
              <w:t>ies</w:t>
            </w:r>
            <w:proofErr w:type="spellEnd"/>
            <w:r w:rsidRPr="007E3AFB">
              <w:rPr>
                <w:sz w:val="20"/>
                <w:szCs w:val="20"/>
              </w:rPr>
              <w:t>):</w:t>
            </w:r>
          </w:p>
        </w:tc>
        <w:tc>
          <w:tcPr>
            <w:tcW w:w="1505" w:type="pct"/>
          </w:tcPr>
          <w:p w14:paraId="01FE245E" w14:textId="77777777" w:rsidR="0064621B" w:rsidRPr="007E3AFB" w:rsidRDefault="006D0AB6" w:rsidP="000301E4">
            <w:pPr>
              <w:rPr>
                <w:sz w:val="20"/>
                <w:szCs w:val="20"/>
              </w:rPr>
            </w:pPr>
            <w:r>
              <w:rPr>
                <w:sz w:val="20"/>
                <w:szCs w:val="20"/>
              </w:rPr>
              <w:t>UNDP</w:t>
            </w:r>
            <w:r w:rsidR="00251DC7" w:rsidRPr="007E3AFB">
              <w:rPr>
                <w:sz w:val="20"/>
                <w:szCs w:val="20"/>
              </w:rPr>
              <w:t xml:space="preserve">      </w:t>
            </w:r>
          </w:p>
        </w:tc>
        <w:tc>
          <w:tcPr>
            <w:tcW w:w="1161" w:type="pct"/>
          </w:tcPr>
          <w:p w14:paraId="0DC5EBDD" w14:textId="77777777" w:rsidR="0064621B" w:rsidRPr="007E3AFB" w:rsidRDefault="0064621B" w:rsidP="00755684">
            <w:pPr>
              <w:rPr>
                <w:sz w:val="20"/>
                <w:szCs w:val="20"/>
              </w:rPr>
            </w:pPr>
            <w:r w:rsidRPr="007E3AFB">
              <w:rPr>
                <w:sz w:val="20"/>
                <w:szCs w:val="20"/>
              </w:rPr>
              <w:t>GEF Agency Project ID:</w:t>
            </w:r>
          </w:p>
        </w:tc>
        <w:tc>
          <w:tcPr>
            <w:tcW w:w="1121" w:type="pct"/>
          </w:tcPr>
          <w:p w14:paraId="7CF63C39" w14:textId="77777777" w:rsidR="0064621B" w:rsidRPr="007E3AFB" w:rsidRDefault="005515A7" w:rsidP="005515A7">
            <w:pPr>
              <w:rPr>
                <w:sz w:val="20"/>
                <w:szCs w:val="20"/>
              </w:rPr>
            </w:pPr>
            <w:bookmarkStart w:id="4" w:name="agencyID"/>
            <w:r>
              <w:rPr>
                <w:noProof/>
                <w:sz w:val="20"/>
                <w:szCs w:val="20"/>
              </w:rPr>
              <w:t>5138</w:t>
            </w:r>
            <w:bookmarkEnd w:id="4"/>
          </w:p>
        </w:tc>
      </w:tr>
      <w:tr w:rsidR="0064621B" w:rsidRPr="007E3AFB" w14:paraId="1015FDF0" w14:textId="77777777" w:rsidTr="00454655">
        <w:tc>
          <w:tcPr>
            <w:tcW w:w="1212" w:type="pct"/>
          </w:tcPr>
          <w:p w14:paraId="51258EB2" w14:textId="77777777" w:rsidR="0064621B" w:rsidRPr="007E3AFB" w:rsidRDefault="0064621B" w:rsidP="001144D8">
            <w:pPr>
              <w:rPr>
                <w:sz w:val="20"/>
                <w:szCs w:val="20"/>
              </w:rPr>
            </w:pPr>
            <w:r w:rsidRPr="007E3AFB">
              <w:rPr>
                <w:sz w:val="20"/>
                <w:szCs w:val="20"/>
              </w:rPr>
              <w:t>Other Executing Partner(s):</w:t>
            </w:r>
          </w:p>
        </w:tc>
        <w:tc>
          <w:tcPr>
            <w:tcW w:w="1505" w:type="pct"/>
          </w:tcPr>
          <w:p w14:paraId="28E0329C" w14:textId="77777777" w:rsidR="0064621B" w:rsidRPr="007E3AFB" w:rsidRDefault="005515A7" w:rsidP="005515A7">
            <w:pPr>
              <w:rPr>
                <w:sz w:val="20"/>
                <w:szCs w:val="20"/>
              </w:rPr>
            </w:pPr>
            <w:bookmarkStart w:id="5" w:name="ExecutingAgency"/>
            <w:r w:rsidRPr="005515A7">
              <w:rPr>
                <w:noProof/>
                <w:sz w:val="20"/>
                <w:szCs w:val="20"/>
              </w:rPr>
              <w:t>Ministry of Ecology and Natural Resources (MENR), SOCAR, National Climate Change Center</w:t>
            </w:r>
            <w:bookmarkEnd w:id="5"/>
          </w:p>
        </w:tc>
        <w:tc>
          <w:tcPr>
            <w:tcW w:w="1161" w:type="pct"/>
          </w:tcPr>
          <w:p w14:paraId="3C024C62" w14:textId="77777777" w:rsidR="0064621B" w:rsidRPr="007E3AFB" w:rsidRDefault="0064621B" w:rsidP="00755684">
            <w:pPr>
              <w:rPr>
                <w:sz w:val="20"/>
                <w:szCs w:val="20"/>
              </w:rPr>
            </w:pPr>
            <w:r w:rsidRPr="007E3AFB">
              <w:rPr>
                <w:sz w:val="20"/>
                <w:szCs w:val="20"/>
              </w:rPr>
              <w:t>Submission Date:</w:t>
            </w:r>
          </w:p>
        </w:tc>
        <w:tc>
          <w:tcPr>
            <w:tcW w:w="1121" w:type="pct"/>
          </w:tcPr>
          <w:p w14:paraId="467A715B" w14:textId="77777777" w:rsidR="00D744DE" w:rsidRDefault="004F0B07" w:rsidP="004014D6">
            <w:pPr>
              <w:rPr>
                <w:noProof/>
                <w:sz w:val="20"/>
                <w:szCs w:val="20"/>
              </w:rPr>
            </w:pPr>
            <w:bookmarkStart w:id="6" w:name="SubmissionDate"/>
            <w:r>
              <w:rPr>
                <w:noProof/>
                <w:sz w:val="20"/>
                <w:szCs w:val="20"/>
              </w:rPr>
              <w:t>1</w:t>
            </w:r>
            <w:r w:rsidR="00115FDD">
              <w:rPr>
                <w:noProof/>
                <w:sz w:val="20"/>
                <w:szCs w:val="20"/>
              </w:rPr>
              <w:t>2 February 2013</w:t>
            </w:r>
            <w:r w:rsidR="006D0AB6">
              <w:rPr>
                <w:noProof/>
                <w:sz w:val="20"/>
                <w:szCs w:val="20"/>
              </w:rPr>
              <w:t xml:space="preserve">   </w:t>
            </w:r>
          </w:p>
          <w:p w14:paraId="3F3930E8" w14:textId="6A5C0A08" w:rsidR="0064621B" w:rsidRPr="007E3AFB" w:rsidRDefault="00D744DE" w:rsidP="004014D6">
            <w:pPr>
              <w:rPr>
                <w:sz w:val="20"/>
                <w:szCs w:val="20"/>
              </w:rPr>
            </w:pPr>
            <w:r>
              <w:rPr>
                <w:noProof/>
                <w:sz w:val="20"/>
                <w:szCs w:val="20"/>
              </w:rPr>
              <w:t>15 March 2013</w:t>
            </w:r>
            <w:r w:rsidR="006D0AB6">
              <w:rPr>
                <w:noProof/>
                <w:sz w:val="20"/>
                <w:szCs w:val="20"/>
              </w:rPr>
              <w:t xml:space="preserve"> </w:t>
            </w:r>
            <w:bookmarkEnd w:id="6"/>
          </w:p>
        </w:tc>
      </w:tr>
      <w:tr w:rsidR="0064621B" w:rsidRPr="007E3AFB" w14:paraId="55EF57E9" w14:textId="77777777" w:rsidTr="00454655">
        <w:tc>
          <w:tcPr>
            <w:tcW w:w="1212" w:type="pct"/>
          </w:tcPr>
          <w:p w14:paraId="36BBA8DE" w14:textId="77777777" w:rsidR="0064621B" w:rsidRPr="002F1560" w:rsidRDefault="0064621B" w:rsidP="00097611">
            <w:pPr>
              <w:rPr>
                <w:sz w:val="20"/>
                <w:szCs w:val="20"/>
              </w:rPr>
            </w:pPr>
            <w:r w:rsidRPr="002F1560">
              <w:rPr>
                <w:sz w:val="20"/>
                <w:szCs w:val="20"/>
              </w:rPr>
              <w:t>GEF Focal Area (s):</w:t>
            </w:r>
          </w:p>
        </w:tc>
        <w:tc>
          <w:tcPr>
            <w:tcW w:w="1505" w:type="pct"/>
          </w:tcPr>
          <w:p w14:paraId="584A2DD4" w14:textId="77777777" w:rsidR="0064621B" w:rsidRPr="002F1560" w:rsidRDefault="006D0AB6">
            <w:pPr>
              <w:rPr>
                <w:sz w:val="20"/>
                <w:szCs w:val="20"/>
              </w:rPr>
            </w:pPr>
            <w:r>
              <w:rPr>
                <w:sz w:val="20"/>
                <w:szCs w:val="20"/>
              </w:rPr>
              <w:t>Climate Change</w:t>
            </w:r>
          </w:p>
        </w:tc>
        <w:tc>
          <w:tcPr>
            <w:tcW w:w="1161" w:type="pct"/>
          </w:tcPr>
          <w:p w14:paraId="30CD0E69" w14:textId="77777777" w:rsidR="0064621B" w:rsidRPr="007E3AFB" w:rsidRDefault="0064621B" w:rsidP="00097611">
            <w:pPr>
              <w:rPr>
                <w:sz w:val="20"/>
                <w:szCs w:val="20"/>
              </w:rPr>
            </w:pPr>
            <w:r w:rsidRPr="007E3AFB">
              <w:rPr>
                <w:sz w:val="20"/>
                <w:szCs w:val="20"/>
              </w:rPr>
              <w:t>Project Duration</w:t>
            </w:r>
            <w:r w:rsidR="00454655">
              <w:rPr>
                <w:sz w:val="20"/>
                <w:szCs w:val="20"/>
              </w:rPr>
              <w:t xml:space="preserve"> </w:t>
            </w:r>
            <w:r w:rsidR="0029797B" w:rsidRPr="007E3AFB">
              <w:rPr>
                <w:sz w:val="20"/>
                <w:szCs w:val="20"/>
              </w:rPr>
              <w:t>(Months)</w:t>
            </w:r>
          </w:p>
        </w:tc>
        <w:tc>
          <w:tcPr>
            <w:tcW w:w="1121" w:type="pct"/>
          </w:tcPr>
          <w:p w14:paraId="45AE974E" w14:textId="77777777" w:rsidR="0064621B" w:rsidRPr="007E3AFB" w:rsidRDefault="005515A7" w:rsidP="005515A7">
            <w:pPr>
              <w:rPr>
                <w:sz w:val="20"/>
                <w:szCs w:val="20"/>
              </w:rPr>
            </w:pPr>
            <w:bookmarkStart w:id="7" w:name="ProjectDuration"/>
            <w:r>
              <w:rPr>
                <w:noProof/>
                <w:sz w:val="20"/>
                <w:szCs w:val="20"/>
              </w:rPr>
              <w:t>60 months</w:t>
            </w:r>
            <w:bookmarkEnd w:id="7"/>
          </w:p>
        </w:tc>
      </w:tr>
      <w:tr w:rsidR="0064621B" w:rsidRPr="007E3AFB" w14:paraId="2C78AD95" w14:textId="77777777" w:rsidTr="00454655">
        <w:tc>
          <w:tcPr>
            <w:tcW w:w="1212" w:type="pct"/>
          </w:tcPr>
          <w:p w14:paraId="5A0C77E9" w14:textId="77777777" w:rsidR="0064621B" w:rsidRPr="007E3AFB" w:rsidRDefault="0064621B" w:rsidP="00653590">
            <w:pPr>
              <w:rPr>
                <w:sz w:val="20"/>
                <w:szCs w:val="20"/>
              </w:rPr>
            </w:pPr>
            <w:r w:rsidRPr="007E3AFB">
              <w:rPr>
                <w:sz w:val="20"/>
                <w:szCs w:val="20"/>
              </w:rPr>
              <w:t>Name of parent program (if applicable):</w:t>
            </w:r>
          </w:p>
          <w:p w14:paraId="2B60FF8F" w14:textId="77777777" w:rsidR="00AA1908" w:rsidRDefault="00AA1908" w:rsidP="00454655">
            <w:pPr>
              <w:numPr>
                <w:ilvl w:val="0"/>
                <w:numId w:val="17"/>
              </w:numPr>
              <w:ind w:left="270" w:hanging="270"/>
              <w:rPr>
                <w:sz w:val="20"/>
                <w:szCs w:val="20"/>
              </w:rPr>
            </w:pPr>
            <w:r w:rsidRPr="007E3AFB">
              <w:rPr>
                <w:sz w:val="20"/>
                <w:szCs w:val="20"/>
              </w:rPr>
              <w:t>For SFM</w:t>
            </w:r>
            <w:r w:rsidR="007E3AFB">
              <w:rPr>
                <w:sz w:val="20"/>
                <w:szCs w:val="20"/>
              </w:rPr>
              <w:t>/REDD+</w:t>
            </w:r>
            <w:r w:rsidRPr="007E3AFB">
              <w:rPr>
                <w:sz w:val="20"/>
                <w:szCs w:val="20"/>
              </w:rPr>
              <w:t xml:space="preserve"> </w:t>
            </w:r>
            <w:bookmarkStart w:id="8" w:name="CheckSFM"/>
            <w:r w:rsidR="00982987" w:rsidRPr="007E3AFB">
              <w:rPr>
                <w:sz w:val="20"/>
                <w:szCs w:val="20"/>
              </w:rPr>
              <w:fldChar w:fldCharType="begin">
                <w:ffData>
                  <w:name w:val="CheckSFM"/>
                  <w:enabled/>
                  <w:calcOnExit w:val="0"/>
                  <w:checkBox>
                    <w:sizeAuto/>
                    <w:default w:val="0"/>
                  </w:checkBox>
                </w:ffData>
              </w:fldChar>
            </w:r>
            <w:r w:rsidR="00573D25" w:rsidRPr="007E3AFB">
              <w:rPr>
                <w:sz w:val="20"/>
                <w:szCs w:val="20"/>
              </w:rPr>
              <w:instrText xml:space="preserve"> FORMCHECKBOX </w:instrText>
            </w:r>
            <w:r w:rsidR="00982987" w:rsidRPr="007E3AFB">
              <w:rPr>
                <w:sz w:val="20"/>
                <w:szCs w:val="20"/>
              </w:rPr>
            </w:r>
            <w:r w:rsidR="00982987" w:rsidRPr="007E3AFB">
              <w:rPr>
                <w:sz w:val="20"/>
                <w:szCs w:val="20"/>
              </w:rPr>
              <w:fldChar w:fldCharType="end"/>
            </w:r>
            <w:bookmarkEnd w:id="8"/>
          </w:p>
          <w:p w14:paraId="4338E997" w14:textId="77777777" w:rsidR="00C55EB2" w:rsidRPr="007E3AFB" w:rsidRDefault="00C55EB2" w:rsidP="00454655">
            <w:pPr>
              <w:numPr>
                <w:ilvl w:val="0"/>
                <w:numId w:val="17"/>
              </w:numPr>
              <w:ind w:left="270" w:hanging="270"/>
              <w:rPr>
                <w:sz w:val="20"/>
                <w:szCs w:val="20"/>
              </w:rPr>
            </w:pPr>
            <w:r>
              <w:rPr>
                <w:sz w:val="20"/>
                <w:szCs w:val="20"/>
              </w:rPr>
              <w:t xml:space="preserve">For SGP                </w:t>
            </w:r>
            <w:r w:rsidR="00982987" w:rsidRPr="007E3AFB">
              <w:rPr>
                <w:sz w:val="20"/>
                <w:szCs w:val="20"/>
              </w:rPr>
              <w:fldChar w:fldCharType="begin">
                <w:ffData>
                  <w:name w:val="CheckSFM"/>
                  <w:enabled/>
                  <w:calcOnExit w:val="0"/>
                  <w:checkBox>
                    <w:sizeAuto/>
                    <w:default w:val="0"/>
                  </w:checkBox>
                </w:ffData>
              </w:fldChar>
            </w:r>
            <w:r w:rsidRPr="007E3AFB">
              <w:rPr>
                <w:sz w:val="20"/>
                <w:szCs w:val="20"/>
              </w:rPr>
              <w:instrText xml:space="preserve"> FORMCHECKBOX </w:instrText>
            </w:r>
            <w:r w:rsidR="00982987" w:rsidRPr="007E3AFB">
              <w:rPr>
                <w:sz w:val="20"/>
                <w:szCs w:val="20"/>
              </w:rPr>
            </w:r>
            <w:r w:rsidR="00982987" w:rsidRPr="007E3AFB">
              <w:rPr>
                <w:sz w:val="20"/>
                <w:szCs w:val="20"/>
              </w:rPr>
              <w:fldChar w:fldCharType="end"/>
            </w:r>
          </w:p>
        </w:tc>
        <w:tc>
          <w:tcPr>
            <w:tcW w:w="1505" w:type="pct"/>
          </w:tcPr>
          <w:p w14:paraId="79661B1F" w14:textId="77777777" w:rsidR="0064621B" w:rsidRPr="007E3AFB" w:rsidRDefault="006D0AB6">
            <w:pPr>
              <w:rPr>
                <w:sz w:val="20"/>
                <w:szCs w:val="20"/>
              </w:rPr>
            </w:pPr>
            <w:bookmarkStart w:id="9" w:name="ParentProjectName"/>
            <w:r>
              <w:rPr>
                <w:noProof/>
                <w:sz w:val="20"/>
                <w:szCs w:val="20"/>
              </w:rPr>
              <w:t xml:space="preserve">     </w:t>
            </w:r>
            <w:bookmarkEnd w:id="9"/>
            <w:r>
              <w:rPr>
                <w:noProof/>
                <w:sz w:val="20"/>
                <w:szCs w:val="20"/>
              </w:rPr>
              <w:t>N/a</w:t>
            </w:r>
          </w:p>
        </w:tc>
        <w:tc>
          <w:tcPr>
            <w:tcW w:w="1161" w:type="pct"/>
          </w:tcPr>
          <w:p w14:paraId="5D2B6939" w14:textId="77777777" w:rsidR="0064621B" w:rsidRPr="007E3AFB" w:rsidRDefault="0064621B" w:rsidP="00097611">
            <w:pPr>
              <w:rPr>
                <w:sz w:val="20"/>
                <w:szCs w:val="20"/>
              </w:rPr>
            </w:pPr>
            <w:r w:rsidRPr="007E3AFB">
              <w:rPr>
                <w:sz w:val="20"/>
                <w:szCs w:val="20"/>
              </w:rPr>
              <w:t>Agency Fee</w:t>
            </w:r>
            <w:r w:rsidR="00C50BB2">
              <w:rPr>
                <w:sz w:val="20"/>
                <w:szCs w:val="20"/>
              </w:rPr>
              <w:t xml:space="preserve"> ($)</w:t>
            </w:r>
            <w:r w:rsidRPr="007E3AFB">
              <w:rPr>
                <w:sz w:val="20"/>
                <w:szCs w:val="20"/>
              </w:rPr>
              <w:t>:</w:t>
            </w:r>
          </w:p>
        </w:tc>
        <w:tc>
          <w:tcPr>
            <w:tcW w:w="1121" w:type="pct"/>
          </w:tcPr>
          <w:p w14:paraId="65709E60" w14:textId="77777777" w:rsidR="0064621B" w:rsidRPr="007E3AFB" w:rsidRDefault="00E0515D" w:rsidP="00E0515D">
            <w:pPr>
              <w:rPr>
                <w:sz w:val="20"/>
                <w:szCs w:val="20"/>
              </w:rPr>
            </w:pPr>
            <w:bookmarkStart w:id="10" w:name="agencyFee"/>
            <w:r>
              <w:rPr>
                <w:noProof/>
                <w:sz w:val="20"/>
                <w:szCs w:val="20"/>
              </w:rPr>
              <w:t>339,150</w:t>
            </w:r>
            <w:bookmarkEnd w:id="10"/>
          </w:p>
        </w:tc>
      </w:tr>
    </w:tbl>
    <w:p w14:paraId="2CA7E567" w14:textId="77777777" w:rsidR="00276471" w:rsidRPr="007E3AFB" w:rsidRDefault="007441D9" w:rsidP="007D2C99">
      <w:pPr>
        <w:pStyle w:val="Footer"/>
        <w:tabs>
          <w:tab w:val="clear" w:pos="4320"/>
          <w:tab w:val="clear" w:pos="8640"/>
        </w:tabs>
        <w:spacing w:before="120" w:after="80"/>
        <w:ind w:left="-540"/>
        <w:rPr>
          <w:b/>
          <w:smallCaps/>
        </w:rPr>
      </w:pPr>
      <w:r>
        <w:rPr>
          <w:b/>
          <w:smallCaps/>
          <w:sz w:val="22"/>
          <w:szCs w:val="22"/>
        </w:rPr>
        <w:t xml:space="preserve">A. </w:t>
      </w:r>
      <w:r w:rsidR="00107376" w:rsidRPr="005B6ABF">
        <w:rPr>
          <w:b/>
          <w:smallCaps/>
          <w:sz w:val="22"/>
          <w:szCs w:val="22"/>
        </w:rPr>
        <w:t xml:space="preserve"> </w:t>
      </w:r>
      <w:r w:rsidR="00BC472A" w:rsidRPr="00BC472A">
        <w:rPr>
          <w:b/>
          <w:smallCaps/>
          <w:sz w:val="22"/>
          <w:szCs w:val="22"/>
        </w:rPr>
        <w:t xml:space="preserve">indicative </w:t>
      </w:r>
      <w:r w:rsidR="00D337D1" w:rsidRPr="006D0AB6">
        <w:rPr>
          <w:b/>
          <w:smallCaps/>
          <w:sz w:val="22"/>
          <w:szCs w:val="22"/>
        </w:rPr>
        <w:t xml:space="preserve">Focal </w:t>
      </w:r>
      <w:r w:rsidR="00501697" w:rsidRPr="006D0AB6">
        <w:rPr>
          <w:b/>
          <w:smallCaps/>
          <w:sz w:val="22"/>
          <w:szCs w:val="22"/>
        </w:rPr>
        <w:t>AREA STRATEGY</w:t>
      </w:r>
      <w:r w:rsidR="002A2250" w:rsidRPr="006D0AB6">
        <w:rPr>
          <w:b/>
          <w:smallCaps/>
          <w:sz w:val="22"/>
          <w:szCs w:val="22"/>
        </w:rPr>
        <w:t xml:space="preserve"> </w:t>
      </w:r>
      <w:r w:rsidR="00107376" w:rsidRPr="006D0AB6">
        <w:rPr>
          <w:b/>
          <w:smallCaps/>
          <w:sz w:val="22"/>
          <w:szCs w:val="22"/>
        </w:rPr>
        <w:t>Framework</w:t>
      </w:r>
      <w:r w:rsidR="0031707C" w:rsidRPr="007E3AFB">
        <w:rPr>
          <w:rStyle w:val="FootnoteReference"/>
          <w:b/>
          <w:smallCaps/>
        </w:rPr>
        <w:footnoteReference w:id="2"/>
      </w:r>
      <w:r w:rsidR="00107376" w:rsidRPr="007E3AFB">
        <w:rPr>
          <w:b/>
          <w:smallCaps/>
        </w:rPr>
        <w:t>:</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763"/>
        <w:gridCol w:w="1374"/>
        <w:gridCol w:w="1634"/>
        <w:gridCol w:w="1441"/>
        <w:gridCol w:w="25"/>
      </w:tblGrid>
      <w:tr w:rsidR="0017027C" w:rsidRPr="00077A08" w14:paraId="0FC26F4B" w14:textId="77777777" w:rsidTr="0017027C">
        <w:trPr>
          <w:gridAfter w:val="1"/>
          <w:wAfter w:w="12" w:type="pct"/>
          <w:trHeight w:val="260"/>
          <w:jc w:val="center"/>
        </w:trPr>
        <w:tc>
          <w:tcPr>
            <w:tcW w:w="2815" w:type="pct"/>
            <w:shd w:val="clear" w:color="auto" w:fill="FFFFFF"/>
            <w:vAlign w:val="center"/>
          </w:tcPr>
          <w:p w14:paraId="401863B4" w14:textId="77777777" w:rsidR="0017027C" w:rsidRPr="00077A08" w:rsidRDefault="0017027C" w:rsidP="007E3AFB">
            <w:pPr>
              <w:pStyle w:val="Heading3"/>
              <w:ind w:left="72"/>
              <w:jc w:val="center"/>
              <w:rPr>
                <w:bCs w:val="0"/>
                <w:iCs/>
                <w:color w:val="000000"/>
                <w:sz w:val="20"/>
                <w:szCs w:val="20"/>
              </w:rPr>
            </w:pPr>
            <w:r w:rsidRPr="00077A08">
              <w:rPr>
                <w:bCs w:val="0"/>
                <w:iCs/>
                <w:color w:val="000000"/>
                <w:sz w:val="20"/>
                <w:szCs w:val="20"/>
              </w:rPr>
              <w:t>Focal Area Objectives</w:t>
            </w:r>
          </w:p>
        </w:tc>
        <w:tc>
          <w:tcPr>
            <w:tcW w:w="671" w:type="pct"/>
            <w:shd w:val="clear" w:color="auto" w:fill="FFFFFF"/>
          </w:tcPr>
          <w:p w14:paraId="02B5CE94" w14:textId="77777777" w:rsidR="0017027C" w:rsidRPr="00077A08" w:rsidRDefault="0017027C" w:rsidP="007E3AFB">
            <w:pPr>
              <w:pStyle w:val="Heading3"/>
              <w:jc w:val="center"/>
              <w:rPr>
                <w:bCs w:val="0"/>
                <w:iCs/>
                <w:color w:val="000000"/>
                <w:sz w:val="20"/>
                <w:szCs w:val="20"/>
              </w:rPr>
            </w:pPr>
            <w:r w:rsidRPr="00077A08">
              <w:rPr>
                <w:bCs w:val="0"/>
                <w:iCs/>
                <w:color w:val="000000"/>
                <w:sz w:val="20"/>
                <w:szCs w:val="20"/>
              </w:rPr>
              <w:t>Trust Fund</w:t>
            </w:r>
          </w:p>
        </w:tc>
        <w:tc>
          <w:tcPr>
            <w:tcW w:w="798" w:type="pct"/>
            <w:shd w:val="clear" w:color="auto" w:fill="FFFFFF"/>
            <w:vAlign w:val="center"/>
          </w:tcPr>
          <w:p w14:paraId="13C2C39C" w14:textId="77777777" w:rsidR="0017027C" w:rsidRPr="00077A08" w:rsidRDefault="0017027C" w:rsidP="007E3AFB">
            <w:pPr>
              <w:pStyle w:val="Heading3"/>
              <w:jc w:val="center"/>
              <w:rPr>
                <w:bCs w:val="0"/>
                <w:iCs/>
                <w:color w:val="000000"/>
                <w:sz w:val="20"/>
                <w:szCs w:val="20"/>
              </w:rPr>
            </w:pPr>
            <w:r w:rsidRPr="00077A08">
              <w:rPr>
                <w:bCs w:val="0"/>
                <w:iCs/>
                <w:color w:val="000000"/>
                <w:sz w:val="20"/>
                <w:szCs w:val="20"/>
              </w:rPr>
              <w:t xml:space="preserve">Indicative  </w:t>
            </w:r>
          </w:p>
          <w:p w14:paraId="31D6E1DC" w14:textId="77777777" w:rsidR="0017027C" w:rsidRPr="00077A08" w:rsidRDefault="0017027C" w:rsidP="007E3AFB">
            <w:pPr>
              <w:pStyle w:val="Heading3"/>
              <w:jc w:val="center"/>
              <w:rPr>
                <w:bCs w:val="0"/>
                <w:iCs/>
                <w:color w:val="000000"/>
                <w:sz w:val="20"/>
                <w:szCs w:val="20"/>
              </w:rPr>
            </w:pPr>
            <w:r w:rsidRPr="00077A08">
              <w:rPr>
                <w:bCs w:val="0"/>
                <w:iCs/>
                <w:color w:val="000000"/>
                <w:sz w:val="20"/>
                <w:szCs w:val="20"/>
              </w:rPr>
              <w:t>Grant Amount</w:t>
            </w:r>
          </w:p>
          <w:p w14:paraId="1BA38985" w14:textId="77777777" w:rsidR="0017027C" w:rsidRPr="00077A08" w:rsidRDefault="0017027C" w:rsidP="007E3AFB">
            <w:pPr>
              <w:pStyle w:val="Heading3"/>
              <w:jc w:val="center"/>
              <w:rPr>
                <w:bCs w:val="0"/>
                <w:iCs/>
                <w:color w:val="000000"/>
                <w:sz w:val="20"/>
                <w:szCs w:val="20"/>
              </w:rPr>
            </w:pPr>
            <w:r w:rsidRPr="00077A08">
              <w:rPr>
                <w:bCs w:val="0"/>
                <w:iCs/>
                <w:color w:val="000000"/>
                <w:sz w:val="20"/>
                <w:szCs w:val="20"/>
              </w:rPr>
              <w:t xml:space="preserve">($) </w:t>
            </w:r>
          </w:p>
        </w:tc>
        <w:tc>
          <w:tcPr>
            <w:tcW w:w="704" w:type="pct"/>
            <w:shd w:val="clear" w:color="auto" w:fill="FFFFFF"/>
            <w:vAlign w:val="center"/>
          </w:tcPr>
          <w:p w14:paraId="6BDF6990" w14:textId="77777777" w:rsidR="0017027C" w:rsidRPr="00077A08" w:rsidRDefault="0017027C" w:rsidP="007E3AFB">
            <w:pPr>
              <w:pStyle w:val="Heading3"/>
              <w:jc w:val="center"/>
              <w:rPr>
                <w:bCs w:val="0"/>
                <w:iCs/>
                <w:color w:val="000000"/>
                <w:sz w:val="20"/>
                <w:szCs w:val="20"/>
              </w:rPr>
            </w:pPr>
            <w:r w:rsidRPr="00077A08">
              <w:rPr>
                <w:bCs w:val="0"/>
                <w:iCs/>
                <w:color w:val="000000"/>
                <w:sz w:val="20"/>
                <w:szCs w:val="20"/>
              </w:rPr>
              <w:t>Indicative Co-financing</w:t>
            </w:r>
          </w:p>
          <w:p w14:paraId="74E1A6A1" w14:textId="77777777" w:rsidR="0017027C" w:rsidRPr="00077A08" w:rsidRDefault="0017027C" w:rsidP="007E3AFB">
            <w:pPr>
              <w:pStyle w:val="Heading3"/>
              <w:jc w:val="center"/>
              <w:rPr>
                <w:bCs w:val="0"/>
                <w:iCs/>
                <w:color w:val="000000"/>
                <w:sz w:val="20"/>
                <w:szCs w:val="20"/>
              </w:rPr>
            </w:pPr>
            <w:r w:rsidRPr="00077A08">
              <w:rPr>
                <w:bCs w:val="0"/>
                <w:iCs/>
                <w:color w:val="000000"/>
                <w:sz w:val="20"/>
                <w:szCs w:val="20"/>
              </w:rPr>
              <w:t xml:space="preserve">($) </w:t>
            </w:r>
          </w:p>
        </w:tc>
      </w:tr>
      <w:tr w:rsidR="0017027C" w:rsidRPr="00077A08" w14:paraId="34C7597D" w14:textId="77777777" w:rsidTr="0017027C">
        <w:trPr>
          <w:gridAfter w:val="1"/>
          <w:wAfter w:w="12" w:type="pct"/>
          <w:jc w:val="center"/>
        </w:trPr>
        <w:tc>
          <w:tcPr>
            <w:tcW w:w="2815" w:type="pct"/>
            <w:shd w:val="clear" w:color="auto" w:fill="FFFFFF"/>
          </w:tcPr>
          <w:p w14:paraId="31344D04" w14:textId="77777777" w:rsidR="0017027C" w:rsidRPr="00077A08" w:rsidRDefault="006D0AB6" w:rsidP="000301E4">
            <w:pPr>
              <w:rPr>
                <w:sz w:val="20"/>
                <w:szCs w:val="20"/>
                <w:highlight w:val="yellow"/>
              </w:rPr>
            </w:pPr>
            <w:r w:rsidRPr="00077A08">
              <w:rPr>
                <w:sz w:val="20"/>
                <w:szCs w:val="20"/>
                <w:highlight w:val="yellow"/>
              </w:rPr>
              <w:t>CCM-2</w:t>
            </w:r>
            <w:r w:rsidR="0017027C" w:rsidRPr="00077A08">
              <w:rPr>
                <w:sz w:val="20"/>
                <w:szCs w:val="20"/>
                <w:highlight w:val="yellow"/>
              </w:rPr>
              <w:t xml:space="preserve">   </w:t>
            </w:r>
          </w:p>
        </w:tc>
        <w:tc>
          <w:tcPr>
            <w:tcW w:w="671" w:type="pct"/>
            <w:shd w:val="clear" w:color="auto" w:fill="FFFFFF"/>
          </w:tcPr>
          <w:p w14:paraId="3E7B51D8" w14:textId="77777777" w:rsidR="0017027C" w:rsidRPr="00077A08" w:rsidRDefault="006D0AB6" w:rsidP="0017027C">
            <w:pPr>
              <w:rPr>
                <w:sz w:val="20"/>
                <w:szCs w:val="20"/>
                <w:highlight w:val="yellow"/>
              </w:rPr>
            </w:pPr>
            <w:r w:rsidRPr="00077A08">
              <w:rPr>
                <w:sz w:val="20"/>
                <w:szCs w:val="20"/>
                <w:highlight w:val="yellow"/>
              </w:rPr>
              <w:t>GEFTF</w:t>
            </w:r>
          </w:p>
        </w:tc>
        <w:tc>
          <w:tcPr>
            <w:tcW w:w="798" w:type="pct"/>
            <w:shd w:val="clear" w:color="auto" w:fill="FFFFFF"/>
          </w:tcPr>
          <w:p w14:paraId="1BFF9893" w14:textId="77777777" w:rsidR="0017027C" w:rsidRPr="00077A08" w:rsidRDefault="00077A08" w:rsidP="00077A08">
            <w:pPr>
              <w:jc w:val="right"/>
              <w:rPr>
                <w:noProof/>
                <w:sz w:val="20"/>
                <w:szCs w:val="20"/>
                <w:highlight w:val="yellow"/>
              </w:rPr>
            </w:pPr>
            <w:bookmarkStart w:id="11" w:name="A_GA_01"/>
            <w:r w:rsidRPr="00077A08">
              <w:rPr>
                <w:noProof/>
                <w:sz w:val="20"/>
                <w:szCs w:val="20"/>
                <w:highlight w:val="yellow"/>
              </w:rPr>
              <w:t>1,395</w:t>
            </w:r>
            <w:r w:rsidR="003857C4" w:rsidRPr="00077A08">
              <w:rPr>
                <w:noProof/>
                <w:sz w:val="20"/>
                <w:szCs w:val="20"/>
                <w:highlight w:val="yellow"/>
              </w:rPr>
              <w:t>,000</w:t>
            </w:r>
            <w:bookmarkEnd w:id="11"/>
          </w:p>
        </w:tc>
        <w:tc>
          <w:tcPr>
            <w:tcW w:w="704" w:type="pct"/>
            <w:shd w:val="clear" w:color="auto" w:fill="FFFFFF"/>
          </w:tcPr>
          <w:p w14:paraId="378CEF5B" w14:textId="77777777" w:rsidR="0017027C" w:rsidRPr="00077A08" w:rsidRDefault="000301E4" w:rsidP="00077A08">
            <w:pPr>
              <w:jc w:val="right"/>
              <w:rPr>
                <w:sz w:val="20"/>
                <w:szCs w:val="20"/>
                <w:highlight w:val="yellow"/>
              </w:rPr>
            </w:pPr>
            <w:bookmarkStart w:id="12" w:name="A_CO_01"/>
            <w:r w:rsidRPr="00077A08">
              <w:rPr>
                <w:noProof/>
                <w:sz w:val="20"/>
                <w:szCs w:val="20"/>
                <w:highlight w:val="yellow"/>
              </w:rPr>
              <w:t>1</w:t>
            </w:r>
            <w:r w:rsidR="00077A08" w:rsidRPr="00077A08">
              <w:rPr>
                <w:noProof/>
                <w:sz w:val="20"/>
                <w:szCs w:val="20"/>
                <w:highlight w:val="yellow"/>
              </w:rPr>
              <w:t>6</w:t>
            </w:r>
            <w:r w:rsidR="00A324D9" w:rsidRPr="00077A08">
              <w:rPr>
                <w:noProof/>
                <w:sz w:val="20"/>
                <w:szCs w:val="20"/>
                <w:highlight w:val="yellow"/>
              </w:rPr>
              <w:t>,</w:t>
            </w:r>
            <w:r w:rsidR="00077A08" w:rsidRPr="00077A08">
              <w:rPr>
                <w:noProof/>
                <w:sz w:val="20"/>
                <w:szCs w:val="20"/>
                <w:highlight w:val="yellow"/>
              </w:rPr>
              <w:t>15</w:t>
            </w:r>
            <w:r w:rsidR="00A324D9" w:rsidRPr="00077A08">
              <w:rPr>
                <w:noProof/>
                <w:sz w:val="20"/>
                <w:szCs w:val="20"/>
                <w:highlight w:val="yellow"/>
              </w:rPr>
              <w:t>0,000</w:t>
            </w:r>
            <w:bookmarkEnd w:id="12"/>
          </w:p>
        </w:tc>
      </w:tr>
      <w:tr w:rsidR="00270E13" w:rsidRPr="00077A08" w14:paraId="000348F7" w14:textId="77777777" w:rsidTr="00270E13">
        <w:trPr>
          <w:gridAfter w:val="1"/>
          <w:wAfter w:w="12" w:type="pct"/>
          <w:jc w:val="center"/>
        </w:trPr>
        <w:tc>
          <w:tcPr>
            <w:tcW w:w="2815" w:type="pct"/>
            <w:shd w:val="clear" w:color="auto" w:fill="FFFFFF"/>
          </w:tcPr>
          <w:p w14:paraId="5EC0EBAC" w14:textId="77777777" w:rsidR="00270E13" w:rsidRPr="00077A08" w:rsidRDefault="00270E13" w:rsidP="000301E4">
            <w:pPr>
              <w:rPr>
                <w:sz w:val="20"/>
                <w:szCs w:val="20"/>
                <w:highlight w:val="yellow"/>
              </w:rPr>
            </w:pPr>
            <w:r w:rsidRPr="00077A08">
              <w:rPr>
                <w:sz w:val="20"/>
                <w:szCs w:val="20"/>
                <w:highlight w:val="yellow"/>
              </w:rPr>
              <w:t xml:space="preserve">CCM-3   </w:t>
            </w:r>
          </w:p>
        </w:tc>
        <w:tc>
          <w:tcPr>
            <w:tcW w:w="671" w:type="pct"/>
            <w:shd w:val="clear" w:color="auto" w:fill="FFFFFF"/>
          </w:tcPr>
          <w:p w14:paraId="2A1E0877" w14:textId="77777777" w:rsidR="00270E13" w:rsidRPr="00077A08" w:rsidRDefault="00270E13" w:rsidP="00270E13">
            <w:pPr>
              <w:rPr>
                <w:sz w:val="20"/>
                <w:szCs w:val="20"/>
                <w:highlight w:val="yellow"/>
              </w:rPr>
            </w:pPr>
            <w:r w:rsidRPr="00077A08">
              <w:rPr>
                <w:sz w:val="20"/>
                <w:szCs w:val="20"/>
                <w:highlight w:val="yellow"/>
              </w:rPr>
              <w:t>GEFTF</w:t>
            </w:r>
          </w:p>
        </w:tc>
        <w:tc>
          <w:tcPr>
            <w:tcW w:w="798" w:type="pct"/>
            <w:shd w:val="clear" w:color="auto" w:fill="FFFFFF"/>
          </w:tcPr>
          <w:p w14:paraId="5D37950C" w14:textId="77777777" w:rsidR="00270E13" w:rsidRPr="00077A08" w:rsidRDefault="00077A08" w:rsidP="00270E13">
            <w:pPr>
              <w:jc w:val="right"/>
              <w:rPr>
                <w:sz w:val="20"/>
                <w:szCs w:val="20"/>
                <w:highlight w:val="yellow"/>
              </w:rPr>
            </w:pPr>
            <w:r w:rsidRPr="00077A08">
              <w:rPr>
                <w:noProof/>
                <w:sz w:val="20"/>
                <w:szCs w:val="20"/>
                <w:highlight w:val="yellow"/>
              </w:rPr>
              <w:t>1,395,000</w:t>
            </w:r>
          </w:p>
        </w:tc>
        <w:tc>
          <w:tcPr>
            <w:tcW w:w="704" w:type="pct"/>
            <w:shd w:val="clear" w:color="auto" w:fill="FFFFFF"/>
          </w:tcPr>
          <w:p w14:paraId="385DC2B4" w14:textId="77777777" w:rsidR="00270E13" w:rsidRPr="00077A08" w:rsidRDefault="000301E4" w:rsidP="00077A08">
            <w:pPr>
              <w:jc w:val="right"/>
              <w:rPr>
                <w:sz w:val="20"/>
                <w:szCs w:val="20"/>
              </w:rPr>
            </w:pPr>
            <w:r w:rsidRPr="00077A08">
              <w:rPr>
                <w:noProof/>
                <w:sz w:val="20"/>
                <w:szCs w:val="20"/>
                <w:highlight w:val="yellow"/>
              </w:rPr>
              <w:t>1</w:t>
            </w:r>
            <w:r w:rsidR="00077A08" w:rsidRPr="00077A08">
              <w:rPr>
                <w:noProof/>
                <w:sz w:val="20"/>
                <w:szCs w:val="20"/>
                <w:highlight w:val="yellow"/>
              </w:rPr>
              <w:t>6</w:t>
            </w:r>
            <w:r w:rsidR="00270E13" w:rsidRPr="00077A08">
              <w:rPr>
                <w:noProof/>
                <w:sz w:val="20"/>
                <w:szCs w:val="20"/>
                <w:highlight w:val="yellow"/>
              </w:rPr>
              <w:t>,</w:t>
            </w:r>
            <w:r w:rsidR="00077A08" w:rsidRPr="00077A08">
              <w:rPr>
                <w:noProof/>
                <w:sz w:val="20"/>
                <w:szCs w:val="20"/>
                <w:highlight w:val="yellow"/>
              </w:rPr>
              <w:t>15</w:t>
            </w:r>
            <w:r w:rsidR="00270E13" w:rsidRPr="00077A08">
              <w:rPr>
                <w:noProof/>
                <w:sz w:val="20"/>
                <w:szCs w:val="20"/>
                <w:highlight w:val="yellow"/>
              </w:rPr>
              <w:t>0,000</w:t>
            </w:r>
          </w:p>
        </w:tc>
      </w:tr>
      <w:tr w:rsidR="0017027C" w:rsidRPr="00077A08" w14:paraId="21363F4A" w14:textId="77777777" w:rsidTr="0017027C">
        <w:trPr>
          <w:gridAfter w:val="1"/>
          <w:wAfter w:w="12" w:type="pct"/>
          <w:jc w:val="center"/>
        </w:trPr>
        <w:tc>
          <w:tcPr>
            <w:tcW w:w="2815" w:type="pct"/>
            <w:shd w:val="clear" w:color="auto" w:fill="FFFFFF"/>
          </w:tcPr>
          <w:p w14:paraId="1912C97B" w14:textId="77777777" w:rsidR="0017027C" w:rsidRPr="00077A08" w:rsidRDefault="006D0AB6" w:rsidP="000301E4">
            <w:pPr>
              <w:rPr>
                <w:sz w:val="20"/>
                <w:szCs w:val="20"/>
              </w:rPr>
            </w:pPr>
            <w:r w:rsidRPr="00077A08">
              <w:rPr>
                <w:sz w:val="20"/>
                <w:szCs w:val="20"/>
              </w:rPr>
              <w:t>CCM-6</w:t>
            </w:r>
            <w:r w:rsidR="0017027C" w:rsidRPr="00077A08">
              <w:rPr>
                <w:sz w:val="20"/>
                <w:szCs w:val="20"/>
              </w:rPr>
              <w:t xml:space="preserve">   </w:t>
            </w:r>
          </w:p>
        </w:tc>
        <w:tc>
          <w:tcPr>
            <w:tcW w:w="671" w:type="pct"/>
            <w:shd w:val="clear" w:color="auto" w:fill="FFFFFF"/>
          </w:tcPr>
          <w:p w14:paraId="00C82B70" w14:textId="77777777" w:rsidR="0017027C" w:rsidRPr="00077A08" w:rsidRDefault="006D0AB6" w:rsidP="0017027C">
            <w:pPr>
              <w:rPr>
                <w:sz w:val="20"/>
                <w:szCs w:val="20"/>
              </w:rPr>
            </w:pPr>
            <w:r w:rsidRPr="00077A08">
              <w:rPr>
                <w:sz w:val="20"/>
                <w:szCs w:val="20"/>
              </w:rPr>
              <w:t>GEFTF</w:t>
            </w:r>
          </w:p>
        </w:tc>
        <w:tc>
          <w:tcPr>
            <w:tcW w:w="798" w:type="pct"/>
            <w:shd w:val="clear" w:color="auto" w:fill="FFFFFF"/>
          </w:tcPr>
          <w:p w14:paraId="1A370806" w14:textId="77777777" w:rsidR="0017027C" w:rsidRPr="00077A08" w:rsidRDefault="003857C4" w:rsidP="00544595">
            <w:pPr>
              <w:jc w:val="right"/>
              <w:rPr>
                <w:sz w:val="20"/>
                <w:szCs w:val="20"/>
              </w:rPr>
            </w:pPr>
            <w:r w:rsidRPr="00077A08">
              <w:rPr>
                <w:noProof/>
                <w:sz w:val="20"/>
                <w:szCs w:val="20"/>
              </w:rPr>
              <w:t>780,000</w:t>
            </w:r>
          </w:p>
        </w:tc>
        <w:tc>
          <w:tcPr>
            <w:tcW w:w="704" w:type="pct"/>
            <w:shd w:val="clear" w:color="auto" w:fill="FFFFFF"/>
          </w:tcPr>
          <w:p w14:paraId="4C3B7CF9" w14:textId="77777777" w:rsidR="0017027C" w:rsidRPr="00077A08" w:rsidRDefault="003857C4" w:rsidP="00A324D9">
            <w:pPr>
              <w:jc w:val="right"/>
              <w:rPr>
                <w:sz w:val="20"/>
                <w:szCs w:val="20"/>
              </w:rPr>
            </w:pPr>
            <w:r w:rsidRPr="00077A08">
              <w:rPr>
                <w:noProof/>
                <w:sz w:val="20"/>
                <w:szCs w:val="20"/>
              </w:rPr>
              <w:t>1,700,000</w:t>
            </w:r>
          </w:p>
        </w:tc>
      </w:tr>
      <w:tr w:rsidR="00FA48C4" w:rsidRPr="00077A08" w14:paraId="10036624" w14:textId="77777777" w:rsidTr="00D67967">
        <w:trPr>
          <w:jc w:val="center"/>
        </w:trPr>
        <w:tc>
          <w:tcPr>
            <w:tcW w:w="2815" w:type="pct"/>
            <w:tcBorders>
              <w:top w:val="double" w:sz="4" w:space="0" w:color="auto"/>
              <w:bottom w:val="double" w:sz="4" w:space="0" w:color="auto"/>
            </w:tcBorders>
            <w:shd w:val="clear" w:color="auto" w:fill="FFFFFF"/>
          </w:tcPr>
          <w:p w14:paraId="3926C3C3" w14:textId="77777777" w:rsidR="00FA48C4" w:rsidRPr="00077A08" w:rsidRDefault="00FA48C4" w:rsidP="00092D44">
            <w:pPr>
              <w:jc w:val="right"/>
              <w:rPr>
                <w:sz w:val="20"/>
                <w:szCs w:val="20"/>
              </w:rPr>
            </w:pPr>
            <w:r w:rsidRPr="00077A08">
              <w:rPr>
                <w:sz w:val="20"/>
                <w:szCs w:val="20"/>
              </w:rPr>
              <w:t>Total Project Cost</w:t>
            </w:r>
          </w:p>
        </w:tc>
        <w:tc>
          <w:tcPr>
            <w:tcW w:w="671" w:type="pct"/>
            <w:tcBorders>
              <w:top w:val="double" w:sz="4" w:space="0" w:color="auto"/>
              <w:bottom w:val="double" w:sz="4" w:space="0" w:color="auto"/>
            </w:tcBorders>
            <w:shd w:val="clear" w:color="auto" w:fill="FFFFFF"/>
          </w:tcPr>
          <w:p w14:paraId="1F30ED6D" w14:textId="77777777" w:rsidR="00FA48C4" w:rsidRPr="00077A08" w:rsidRDefault="00FA48C4" w:rsidP="00092D44">
            <w:pPr>
              <w:jc w:val="right"/>
              <w:rPr>
                <w:sz w:val="20"/>
                <w:szCs w:val="20"/>
              </w:rPr>
            </w:pPr>
          </w:p>
        </w:tc>
        <w:tc>
          <w:tcPr>
            <w:tcW w:w="798" w:type="pct"/>
            <w:tcBorders>
              <w:top w:val="double" w:sz="4" w:space="0" w:color="auto"/>
              <w:bottom w:val="double" w:sz="4" w:space="0" w:color="auto"/>
            </w:tcBorders>
            <w:shd w:val="clear" w:color="auto" w:fill="FFFFFF"/>
          </w:tcPr>
          <w:p w14:paraId="3311436B" w14:textId="77777777" w:rsidR="00FA48C4" w:rsidRPr="00077A08" w:rsidRDefault="00A324D9" w:rsidP="00407952">
            <w:pPr>
              <w:jc w:val="right"/>
              <w:rPr>
                <w:sz w:val="20"/>
                <w:szCs w:val="20"/>
              </w:rPr>
            </w:pPr>
            <w:bookmarkStart w:id="13" w:name="totalProjCostGA"/>
            <w:r w:rsidRPr="00077A08">
              <w:rPr>
                <w:noProof/>
                <w:sz w:val="20"/>
                <w:szCs w:val="20"/>
              </w:rPr>
              <w:t>3,570,000</w:t>
            </w:r>
            <w:bookmarkEnd w:id="13"/>
          </w:p>
        </w:tc>
        <w:tc>
          <w:tcPr>
            <w:tcW w:w="716" w:type="pct"/>
            <w:gridSpan w:val="2"/>
            <w:tcBorders>
              <w:top w:val="double" w:sz="4" w:space="0" w:color="auto"/>
              <w:bottom w:val="double" w:sz="4" w:space="0" w:color="auto"/>
            </w:tcBorders>
            <w:shd w:val="clear" w:color="auto" w:fill="FFFFFF"/>
          </w:tcPr>
          <w:p w14:paraId="38542B06" w14:textId="77777777" w:rsidR="00FA48C4" w:rsidRPr="00077A08" w:rsidRDefault="000301E4" w:rsidP="00F12F08">
            <w:pPr>
              <w:jc w:val="right"/>
              <w:rPr>
                <w:sz w:val="20"/>
                <w:szCs w:val="20"/>
              </w:rPr>
            </w:pPr>
            <w:bookmarkStart w:id="14" w:name="totalProjCostCOFIN"/>
            <w:r w:rsidRPr="00077A08">
              <w:rPr>
                <w:noProof/>
                <w:sz w:val="20"/>
                <w:szCs w:val="20"/>
              </w:rPr>
              <w:t>3</w:t>
            </w:r>
            <w:r w:rsidR="00F12F08" w:rsidRPr="00077A08">
              <w:rPr>
                <w:noProof/>
                <w:sz w:val="20"/>
                <w:szCs w:val="20"/>
              </w:rPr>
              <w:t>4</w:t>
            </w:r>
            <w:r w:rsidR="00A324D9" w:rsidRPr="00077A08">
              <w:rPr>
                <w:noProof/>
                <w:sz w:val="20"/>
                <w:szCs w:val="20"/>
              </w:rPr>
              <w:t>,</w:t>
            </w:r>
            <w:r w:rsidR="00F12F08" w:rsidRPr="00077A08">
              <w:rPr>
                <w:noProof/>
                <w:sz w:val="20"/>
                <w:szCs w:val="20"/>
              </w:rPr>
              <w:t>0</w:t>
            </w:r>
            <w:r w:rsidR="00A324D9" w:rsidRPr="00077A08">
              <w:rPr>
                <w:noProof/>
                <w:sz w:val="20"/>
                <w:szCs w:val="20"/>
              </w:rPr>
              <w:t>00,000</w:t>
            </w:r>
            <w:bookmarkEnd w:id="14"/>
          </w:p>
        </w:tc>
      </w:tr>
    </w:tbl>
    <w:p w14:paraId="6D722833" w14:textId="77777777" w:rsidR="00276471" w:rsidRPr="00077A08" w:rsidRDefault="00BC472A" w:rsidP="007D2C99">
      <w:pPr>
        <w:pStyle w:val="Footer"/>
        <w:numPr>
          <w:ilvl w:val="0"/>
          <w:numId w:val="23"/>
        </w:numPr>
        <w:tabs>
          <w:tab w:val="clear" w:pos="4320"/>
          <w:tab w:val="clear" w:pos="8640"/>
        </w:tabs>
        <w:spacing w:before="120" w:after="80"/>
        <w:ind w:hanging="1350"/>
        <w:rPr>
          <w:b/>
          <w:smallCaps/>
          <w:sz w:val="22"/>
          <w:szCs w:val="22"/>
        </w:rPr>
      </w:pPr>
      <w:r w:rsidRPr="00077A08">
        <w:rPr>
          <w:b/>
          <w:smallCaps/>
          <w:sz w:val="22"/>
          <w:szCs w:val="22"/>
        </w:rPr>
        <w:t xml:space="preserve">indicative </w:t>
      </w:r>
      <w:r w:rsidR="00F52D8A" w:rsidRPr="00077A08">
        <w:rPr>
          <w:b/>
          <w:smallCaps/>
          <w:sz w:val="22"/>
          <w:szCs w:val="22"/>
        </w:rPr>
        <w:t>Project Framework</w:t>
      </w:r>
    </w:p>
    <w:tbl>
      <w:tblPr>
        <w:tblW w:w="54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0"/>
        <w:gridCol w:w="861"/>
        <w:gridCol w:w="2149"/>
        <w:gridCol w:w="2085"/>
        <w:gridCol w:w="861"/>
        <w:gridCol w:w="1203"/>
        <w:gridCol w:w="1252"/>
      </w:tblGrid>
      <w:tr w:rsidR="0027046B" w:rsidRPr="00077A08" w14:paraId="0EEAC1F7" w14:textId="77777777" w:rsidTr="002334D6">
        <w:trPr>
          <w:trHeight w:val="260"/>
          <w:jc w:val="center"/>
        </w:trPr>
        <w:tc>
          <w:tcPr>
            <w:tcW w:w="5000" w:type="pct"/>
            <w:gridSpan w:val="7"/>
            <w:shd w:val="clear" w:color="auto" w:fill="FFFFFF"/>
            <w:vAlign w:val="center"/>
          </w:tcPr>
          <w:p w14:paraId="4F7D2469" w14:textId="77777777" w:rsidR="0027046B" w:rsidRPr="00077A08" w:rsidRDefault="00161EF2" w:rsidP="00617D30">
            <w:pPr>
              <w:pStyle w:val="Heading3"/>
              <w:rPr>
                <w:bCs w:val="0"/>
                <w:iCs/>
                <w:color w:val="000000"/>
                <w:sz w:val="20"/>
                <w:szCs w:val="20"/>
              </w:rPr>
            </w:pPr>
            <w:r w:rsidRPr="00077A08">
              <w:rPr>
                <w:bCs w:val="0"/>
                <w:iCs/>
                <w:color w:val="000000"/>
                <w:sz w:val="20"/>
                <w:szCs w:val="20"/>
              </w:rPr>
              <w:t>Project Objective</w:t>
            </w:r>
            <w:r w:rsidR="0027046B" w:rsidRPr="00077A08">
              <w:rPr>
                <w:bCs w:val="0"/>
                <w:iCs/>
                <w:color w:val="000000"/>
                <w:sz w:val="20"/>
                <w:szCs w:val="20"/>
              </w:rPr>
              <w:t xml:space="preserve">:  </w:t>
            </w:r>
            <w:r w:rsidR="00F12F08" w:rsidRPr="00077A08">
              <w:rPr>
                <w:bCs w:val="0"/>
                <w:iCs/>
                <w:color w:val="000000"/>
                <w:sz w:val="20"/>
                <w:szCs w:val="20"/>
              </w:rPr>
              <w:t>To support the government of Azerbaijan in the development and implementation of NAMAs in the low-carbon end-use sectors</w:t>
            </w:r>
          </w:p>
        </w:tc>
      </w:tr>
      <w:tr w:rsidR="002334D6" w:rsidRPr="006D0AB6" w14:paraId="41883FA8" w14:textId="77777777" w:rsidTr="006D0AB6">
        <w:trPr>
          <w:trHeight w:val="260"/>
          <w:jc w:val="center"/>
        </w:trPr>
        <w:tc>
          <w:tcPr>
            <w:tcW w:w="995" w:type="pct"/>
            <w:shd w:val="clear" w:color="auto" w:fill="FFFFFF"/>
            <w:vAlign w:val="center"/>
          </w:tcPr>
          <w:p w14:paraId="5F1FD0D5" w14:textId="77777777" w:rsidR="0027046B" w:rsidRPr="00077A08" w:rsidRDefault="0027046B" w:rsidP="007E3AFB">
            <w:pPr>
              <w:pStyle w:val="Heading3"/>
              <w:ind w:left="72"/>
              <w:jc w:val="center"/>
              <w:rPr>
                <w:bCs w:val="0"/>
                <w:iCs/>
                <w:color w:val="000000"/>
                <w:sz w:val="20"/>
                <w:szCs w:val="20"/>
              </w:rPr>
            </w:pPr>
            <w:r w:rsidRPr="00077A08">
              <w:rPr>
                <w:bCs w:val="0"/>
                <w:iCs/>
                <w:color w:val="000000"/>
                <w:sz w:val="20"/>
                <w:szCs w:val="20"/>
              </w:rPr>
              <w:t>Project Component</w:t>
            </w:r>
          </w:p>
        </w:tc>
        <w:tc>
          <w:tcPr>
            <w:tcW w:w="410" w:type="pct"/>
            <w:shd w:val="clear" w:color="auto" w:fill="FFFFFF"/>
            <w:vAlign w:val="center"/>
          </w:tcPr>
          <w:p w14:paraId="629B6CBE" w14:textId="77777777" w:rsidR="0027046B" w:rsidRPr="00077A08" w:rsidRDefault="0027046B" w:rsidP="00AE1978">
            <w:pPr>
              <w:pStyle w:val="Heading3"/>
              <w:ind w:left="72"/>
              <w:jc w:val="center"/>
              <w:rPr>
                <w:bCs w:val="0"/>
                <w:iCs/>
                <w:color w:val="000000"/>
                <w:sz w:val="20"/>
                <w:szCs w:val="20"/>
              </w:rPr>
            </w:pPr>
            <w:r w:rsidRPr="00077A08">
              <w:rPr>
                <w:bCs w:val="0"/>
                <w:iCs/>
                <w:color w:val="000000"/>
                <w:sz w:val="20"/>
                <w:szCs w:val="20"/>
              </w:rPr>
              <w:t>Grant Type</w:t>
            </w:r>
            <w:r w:rsidR="00693747" w:rsidRPr="00077A08">
              <w:rPr>
                <w:rStyle w:val="FootnoteReference"/>
                <w:bCs w:val="0"/>
                <w:iCs/>
                <w:color w:val="000000"/>
                <w:sz w:val="20"/>
                <w:szCs w:val="20"/>
              </w:rPr>
              <w:footnoteReference w:id="3"/>
            </w:r>
          </w:p>
          <w:p w14:paraId="7FA7AE67" w14:textId="77777777" w:rsidR="0027046B" w:rsidRPr="00077A08" w:rsidRDefault="0027046B" w:rsidP="00AE1978">
            <w:pPr>
              <w:pStyle w:val="Heading3"/>
              <w:ind w:left="72"/>
              <w:jc w:val="center"/>
              <w:rPr>
                <w:bCs w:val="0"/>
                <w:iCs/>
                <w:color w:val="000000"/>
                <w:sz w:val="20"/>
                <w:szCs w:val="20"/>
              </w:rPr>
            </w:pPr>
          </w:p>
        </w:tc>
        <w:tc>
          <w:tcPr>
            <w:tcW w:w="1023" w:type="pct"/>
            <w:shd w:val="clear" w:color="auto" w:fill="FFFFFF"/>
            <w:vAlign w:val="center"/>
          </w:tcPr>
          <w:p w14:paraId="5EDAAF82" w14:textId="77777777" w:rsidR="0027046B" w:rsidRPr="00077A08" w:rsidRDefault="0027046B" w:rsidP="007E3AFB">
            <w:pPr>
              <w:pStyle w:val="Heading3"/>
              <w:ind w:left="72"/>
              <w:jc w:val="center"/>
              <w:rPr>
                <w:bCs w:val="0"/>
                <w:iCs/>
                <w:color w:val="000000"/>
                <w:sz w:val="20"/>
                <w:szCs w:val="20"/>
              </w:rPr>
            </w:pPr>
            <w:r w:rsidRPr="00077A08">
              <w:rPr>
                <w:bCs w:val="0"/>
                <w:iCs/>
                <w:color w:val="000000"/>
                <w:sz w:val="20"/>
                <w:szCs w:val="20"/>
              </w:rPr>
              <w:t>Expected Outcomes</w:t>
            </w:r>
          </w:p>
        </w:tc>
        <w:tc>
          <w:tcPr>
            <w:tcW w:w="993" w:type="pct"/>
            <w:shd w:val="clear" w:color="auto" w:fill="FFFFFF"/>
          </w:tcPr>
          <w:p w14:paraId="068C0571" w14:textId="77777777" w:rsidR="00693747" w:rsidRPr="00077A08" w:rsidRDefault="00693747" w:rsidP="00693747">
            <w:pPr>
              <w:pStyle w:val="Heading3"/>
              <w:jc w:val="center"/>
              <w:rPr>
                <w:bCs w:val="0"/>
                <w:iCs/>
                <w:color w:val="000000"/>
                <w:sz w:val="20"/>
                <w:szCs w:val="20"/>
              </w:rPr>
            </w:pPr>
          </w:p>
          <w:p w14:paraId="44B97327" w14:textId="77777777" w:rsidR="0027046B" w:rsidRPr="00077A08" w:rsidRDefault="0027046B" w:rsidP="00693747">
            <w:pPr>
              <w:pStyle w:val="Heading3"/>
              <w:jc w:val="center"/>
              <w:rPr>
                <w:bCs w:val="0"/>
                <w:iCs/>
                <w:color w:val="000000"/>
                <w:sz w:val="20"/>
                <w:szCs w:val="20"/>
              </w:rPr>
            </w:pPr>
            <w:r w:rsidRPr="00077A08">
              <w:rPr>
                <w:bCs w:val="0"/>
                <w:iCs/>
                <w:color w:val="000000"/>
                <w:sz w:val="20"/>
                <w:szCs w:val="20"/>
              </w:rPr>
              <w:t>Expected Outputs</w:t>
            </w:r>
          </w:p>
        </w:tc>
        <w:tc>
          <w:tcPr>
            <w:tcW w:w="410" w:type="pct"/>
            <w:shd w:val="clear" w:color="auto" w:fill="FFFFFF"/>
          </w:tcPr>
          <w:p w14:paraId="1983745D" w14:textId="77777777" w:rsidR="0027046B" w:rsidRPr="00077A08" w:rsidRDefault="0027046B" w:rsidP="00F3219D">
            <w:pPr>
              <w:pStyle w:val="Heading3"/>
              <w:jc w:val="center"/>
              <w:rPr>
                <w:bCs w:val="0"/>
                <w:iCs/>
                <w:color w:val="000000"/>
                <w:sz w:val="20"/>
                <w:szCs w:val="20"/>
              </w:rPr>
            </w:pPr>
            <w:r w:rsidRPr="00077A08">
              <w:rPr>
                <w:bCs w:val="0"/>
                <w:iCs/>
                <w:color w:val="000000"/>
                <w:sz w:val="20"/>
                <w:szCs w:val="20"/>
              </w:rPr>
              <w:t>Trust Fund</w:t>
            </w:r>
          </w:p>
        </w:tc>
        <w:tc>
          <w:tcPr>
            <w:tcW w:w="573" w:type="pct"/>
            <w:shd w:val="clear" w:color="auto" w:fill="FFFFFF"/>
          </w:tcPr>
          <w:p w14:paraId="6313DB6A" w14:textId="77777777" w:rsidR="0027046B" w:rsidRPr="00077A08" w:rsidRDefault="0027046B" w:rsidP="00F3219D">
            <w:pPr>
              <w:pStyle w:val="Heading3"/>
              <w:jc w:val="center"/>
              <w:rPr>
                <w:bCs w:val="0"/>
                <w:iCs/>
                <w:color w:val="000000"/>
                <w:sz w:val="20"/>
                <w:szCs w:val="20"/>
              </w:rPr>
            </w:pPr>
            <w:r w:rsidRPr="00077A08">
              <w:rPr>
                <w:bCs w:val="0"/>
                <w:iCs/>
                <w:color w:val="000000"/>
                <w:sz w:val="20"/>
                <w:szCs w:val="20"/>
              </w:rPr>
              <w:t xml:space="preserve">Indicative </w:t>
            </w:r>
          </w:p>
          <w:p w14:paraId="0BD5643A" w14:textId="77777777" w:rsidR="0027046B" w:rsidRPr="00077A08" w:rsidRDefault="0027046B" w:rsidP="00AE1978">
            <w:pPr>
              <w:pStyle w:val="Heading3"/>
              <w:jc w:val="center"/>
              <w:rPr>
                <w:b w:val="0"/>
                <w:bCs w:val="0"/>
                <w:iCs/>
                <w:color w:val="000000"/>
                <w:sz w:val="20"/>
                <w:szCs w:val="20"/>
              </w:rPr>
            </w:pPr>
            <w:r w:rsidRPr="00077A08">
              <w:rPr>
                <w:bCs w:val="0"/>
                <w:iCs/>
                <w:color w:val="000000"/>
                <w:sz w:val="20"/>
                <w:szCs w:val="20"/>
              </w:rPr>
              <w:t xml:space="preserve">Grant Amount ($) </w:t>
            </w:r>
          </w:p>
        </w:tc>
        <w:tc>
          <w:tcPr>
            <w:tcW w:w="596" w:type="pct"/>
            <w:shd w:val="clear" w:color="auto" w:fill="FFFFFF"/>
          </w:tcPr>
          <w:p w14:paraId="1472BC12" w14:textId="77777777" w:rsidR="0027046B" w:rsidRPr="00077A08" w:rsidRDefault="0027046B" w:rsidP="00112A0E">
            <w:pPr>
              <w:pStyle w:val="Heading3"/>
              <w:jc w:val="center"/>
              <w:rPr>
                <w:bCs w:val="0"/>
                <w:iCs/>
                <w:color w:val="000000"/>
                <w:sz w:val="20"/>
                <w:szCs w:val="20"/>
              </w:rPr>
            </w:pPr>
            <w:r w:rsidRPr="00077A08">
              <w:rPr>
                <w:bCs w:val="0"/>
                <w:iCs/>
                <w:color w:val="000000"/>
                <w:sz w:val="20"/>
                <w:szCs w:val="20"/>
              </w:rPr>
              <w:t xml:space="preserve">Indicative </w:t>
            </w:r>
            <w:proofErr w:type="spellStart"/>
            <w:r w:rsidRPr="00077A08">
              <w:rPr>
                <w:bCs w:val="0"/>
                <w:iCs/>
                <w:color w:val="000000"/>
                <w:sz w:val="20"/>
                <w:szCs w:val="20"/>
              </w:rPr>
              <w:t>Cofinancing</w:t>
            </w:r>
            <w:proofErr w:type="spellEnd"/>
          </w:p>
          <w:p w14:paraId="10A5BE75" w14:textId="77777777" w:rsidR="0027046B" w:rsidRPr="006D0AB6" w:rsidRDefault="0027046B" w:rsidP="00112A0E">
            <w:pPr>
              <w:pStyle w:val="Heading3"/>
              <w:jc w:val="center"/>
              <w:rPr>
                <w:b w:val="0"/>
                <w:bCs w:val="0"/>
                <w:iCs/>
                <w:color w:val="000000"/>
                <w:sz w:val="20"/>
                <w:szCs w:val="20"/>
              </w:rPr>
            </w:pPr>
            <w:r w:rsidRPr="00077A08">
              <w:rPr>
                <w:bCs w:val="0"/>
                <w:iCs/>
                <w:color w:val="000000"/>
                <w:sz w:val="20"/>
                <w:szCs w:val="20"/>
              </w:rPr>
              <w:t>($)</w:t>
            </w:r>
            <w:r w:rsidRPr="006D0AB6">
              <w:rPr>
                <w:bCs w:val="0"/>
                <w:iCs/>
                <w:color w:val="000000"/>
                <w:sz w:val="20"/>
                <w:szCs w:val="20"/>
              </w:rPr>
              <w:t xml:space="preserve"> </w:t>
            </w:r>
          </w:p>
        </w:tc>
      </w:tr>
      <w:tr w:rsidR="002334D6" w:rsidRPr="006D0AB6" w14:paraId="6EF7D4AB" w14:textId="77777777" w:rsidTr="006D0AB6">
        <w:trPr>
          <w:jc w:val="center"/>
        </w:trPr>
        <w:tc>
          <w:tcPr>
            <w:tcW w:w="995" w:type="pct"/>
            <w:shd w:val="clear" w:color="auto" w:fill="FFFFFF"/>
          </w:tcPr>
          <w:p w14:paraId="22FEEFDE" w14:textId="77777777" w:rsidR="0027046B" w:rsidRPr="006D0AB6" w:rsidRDefault="0027046B" w:rsidP="00806FF4">
            <w:pPr>
              <w:rPr>
                <w:sz w:val="20"/>
                <w:szCs w:val="20"/>
              </w:rPr>
            </w:pPr>
            <w:r w:rsidRPr="006D0AB6">
              <w:rPr>
                <w:sz w:val="20"/>
                <w:szCs w:val="20"/>
              </w:rPr>
              <w:t xml:space="preserve"> </w:t>
            </w:r>
            <w:bookmarkStart w:id="15" w:name="projComp_01"/>
            <w:r w:rsidR="005515A7" w:rsidRPr="006D0AB6">
              <w:rPr>
                <w:noProof/>
                <w:sz w:val="20"/>
                <w:szCs w:val="20"/>
              </w:rPr>
              <w:t xml:space="preserve">1. </w:t>
            </w:r>
            <w:r w:rsidR="00806FF4">
              <w:rPr>
                <w:noProof/>
                <w:sz w:val="20"/>
                <w:szCs w:val="20"/>
              </w:rPr>
              <w:t>Energy/</w:t>
            </w:r>
            <w:r w:rsidR="005515A7" w:rsidRPr="006D0AB6">
              <w:rPr>
                <w:noProof/>
                <w:sz w:val="20"/>
                <w:szCs w:val="20"/>
              </w:rPr>
              <w:t xml:space="preserve">GHG emission </w:t>
            </w:r>
            <w:r w:rsidR="00806FF4">
              <w:rPr>
                <w:noProof/>
                <w:sz w:val="20"/>
                <w:szCs w:val="20"/>
              </w:rPr>
              <w:t xml:space="preserve">inventories, </w:t>
            </w:r>
            <w:r w:rsidR="005515A7" w:rsidRPr="006D0AB6">
              <w:rPr>
                <w:noProof/>
                <w:sz w:val="20"/>
                <w:szCs w:val="20"/>
              </w:rPr>
              <w:t>baseline</w:t>
            </w:r>
            <w:bookmarkEnd w:id="15"/>
            <w:r w:rsidR="00806FF4">
              <w:rPr>
                <w:noProof/>
                <w:sz w:val="20"/>
                <w:szCs w:val="20"/>
              </w:rPr>
              <w:t>s</w:t>
            </w:r>
            <w:r w:rsidR="00AC78C3">
              <w:rPr>
                <w:noProof/>
                <w:sz w:val="20"/>
                <w:szCs w:val="20"/>
              </w:rPr>
              <w:t xml:space="preserve"> and reduction targets</w:t>
            </w:r>
          </w:p>
        </w:tc>
        <w:tc>
          <w:tcPr>
            <w:tcW w:w="410" w:type="pct"/>
            <w:shd w:val="clear" w:color="auto" w:fill="FFFFFF"/>
          </w:tcPr>
          <w:p w14:paraId="2944D757" w14:textId="77777777" w:rsidR="0027046B" w:rsidRPr="006D0AB6" w:rsidRDefault="006D0AB6" w:rsidP="00407952">
            <w:pPr>
              <w:rPr>
                <w:sz w:val="20"/>
                <w:szCs w:val="20"/>
              </w:rPr>
            </w:pPr>
            <w:r w:rsidRPr="006D0AB6">
              <w:rPr>
                <w:sz w:val="20"/>
                <w:szCs w:val="20"/>
              </w:rPr>
              <w:t>TA</w:t>
            </w:r>
          </w:p>
        </w:tc>
        <w:tc>
          <w:tcPr>
            <w:tcW w:w="1023" w:type="pct"/>
            <w:shd w:val="clear" w:color="auto" w:fill="FFFFFF"/>
          </w:tcPr>
          <w:p w14:paraId="5105E737" w14:textId="77777777" w:rsidR="0027046B" w:rsidRPr="006D0AB6" w:rsidRDefault="005515A7" w:rsidP="00806FF4">
            <w:pPr>
              <w:rPr>
                <w:sz w:val="20"/>
                <w:szCs w:val="20"/>
              </w:rPr>
            </w:pPr>
            <w:bookmarkStart w:id="16" w:name="ExpectedOutCome_01"/>
            <w:r w:rsidRPr="006D0AB6">
              <w:rPr>
                <w:noProof/>
                <w:sz w:val="20"/>
                <w:szCs w:val="20"/>
              </w:rPr>
              <w:t xml:space="preserve">Established GHG emission </w:t>
            </w:r>
            <w:r w:rsidR="00806FF4">
              <w:rPr>
                <w:noProof/>
                <w:sz w:val="20"/>
                <w:szCs w:val="20"/>
              </w:rPr>
              <w:t>inventories,</w:t>
            </w:r>
            <w:r w:rsidRPr="006D0AB6">
              <w:rPr>
                <w:noProof/>
                <w:sz w:val="20"/>
                <w:szCs w:val="20"/>
              </w:rPr>
              <w:t xml:space="preserve"> reference baseline </w:t>
            </w:r>
            <w:r w:rsidR="00AC78C3">
              <w:rPr>
                <w:noProof/>
                <w:sz w:val="20"/>
                <w:szCs w:val="20"/>
              </w:rPr>
              <w:t xml:space="preserve">and targets </w:t>
            </w:r>
            <w:r w:rsidRPr="006D0AB6">
              <w:rPr>
                <w:noProof/>
                <w:sz w:val="20"/>
                <w:szCs w:val="20"/>
              </w:rPr>
              <w:t xml:space="preserve">for the oil&amp;gas end–use sectors: </w:t>
            </w:r>
            <w:r w:rsidR="00806FF4">
              <w:rPr>
                <w:noProof/>
                <w:sz w:val="20"/>
                <w:szCs w:val="20"/>
              </w:rPr>
              <w:t xml:space="preserve">eletcricity generation, </w:t>
            </w:r>
            <w:r w:rsidRPr="006D0AB6">
              <w:rPr>
                <w:noProof/>
                <w:sz w:val="20"/>
                <w:szCs w:val="20"/>
              </w:rPr>
              <w:t>buildings, and transport</w:t>
            </w:r>
            <w:bookmarkEnd w:id="16"/>
          </w:p>
        </w:tc>
        <w:tc>
          <w:tcPr>
            <w:tcW w:w="993" w:type="pct"/>
            <w:shd w:val="clear" w:color="auto" w:fill="FFFFFF"/>
          </w:tcPr>
          <w:p w14:paraId="6A84152D" w14:textId="03901F61" w:rsidR="00147D4B" w:rsidRPr="00DD3F6D" w:rsidRDefault="006D0AB6" w:rsidP="00147D4B">
            <w:pPr>
              <w:rPr>
                <w:noProof/>
                <w:sz w:val="20"/>
                <w:szCs w:val="20"/>
              </w:rPr>
            </w:pPr>
            <w:r>
              <w:rPr>
                <w:noProof/>
                <w:sz w:val="20"/>
                <w:szCs w:val="20"/>
              </w:rPr>
              <w:t xml:space="preserve">- </w:t>
            </w:r>
            <w:r w:rsidR="00147D4B" w:rsidRPr="006D0AB6">
              <w:rPr>
                <w:noProof/>
                <w:sz w:val="20"/>
                <w:szCs w:val="20"/>
              </w:rPr>
              <w:t xml:space="preserve">Established sub- sectoral </w:t>
            </w:r>
            <w:r w:rsidR="00147D4B" w:rsidRPr="00806FF4">
              <w:rPr>
                <w:b/>
                <w:noProof/>
                <w:sz w:val="20"/>
                <w:szCs w:val="20"/>
              </w:rPr>
              <w:t>GHG inventories</w:t>
            </w:r>
            <w:r w:rsidR="00147D4B" w:rsidRPr="006D0AB6">
              <w:rPr>
                <w:noProof/>
                <w:sz w:val="20"/>
                <w:szCs w:val="20"/>
              </w:rPr>
              <w:t xml:space="preserve"> for key oil&amp;gas end-use </w:t>
            </w:r>
            <w:r w:rsidR="00666BA5">
              <w:rPr>
                <w:noProof/>
                <w:sz w:val="20"/>
                <w:szCs w:val="20"/>
              </w:rPr>
              <w:t>sub-</w:t>
            </w:r>
            <w:r w:rsidR="00147D4B" w:rsidRPr="006D0AB6">
              <w:rPr>
                <w:noProof/>
                <w:sz w:val="20"/>
                <w:szCs w:val="20"/>
              </w:rPr>
              <w:t xml:space="preserve">sectors: </w:t>
            </w:r>
            <w:r w:rsidR="00666BA5">
              <w:rPr>
                <w:noProof/>
                <w:sz w:val="20"/>
                <w:szCs w:val="20"/>
              </w:rPr>
              <w:t xml:space="preserve">e.g. </w:t>
            </w:r>
            <w:r w:rsidR="0081774E" w:rsidRPr="0081774E">
              <w:rPr>
                <w:noProof/>
                <w:sz w:val="20"/>
                <w:szCs w:val="20"/>
                <w:highlight w:val="yellow"/>
              </w:rPr>
              <w:t>electricity</w:t>
            </w:r>
            <w:r w:rsidR="00666BA5">
              <w:rPr>
                <w:noProof/>
                <w:sz w:val="20"/>
                <w:szCs w:val="20"/>
                <w:highlight w:val="yellow"/>
              </w:rPr>
              <w:t xml:space="preserve"> and </w:t>
            </w:r>
            <w:r w:rsidR="00F97282">
              <w:rPr>
                <w:noProof/>
                <w:sz w:val="20"/>
                <w:szCs w:val="20"/>
                <w:highlight w:val="yellow"/>
              </w:rPr>
              <w:t>heat</w:t>
            </w:r>
            <w:r w:rsidR="0081774E" w:rsidRPr="0081774E">
              <w:rPr>
                <w:noProof/>
                <w:sz w:val="20"/>
                <w:szCs w:val="20"/>
                <w:highlight w:val="yellow"/>
              </w:rPr>
              <w:t xml:space="preserve"> </w:t>
            </w:r>
            <w:r w:rsidR="00806FF4" w:rsidRPr="0081774E">
              <w:rPr>
                <w:noProof/>
                <w:sz w:val="20"/>
                <w:szCs w:val="20"/>
                <w:highlight w:val="yellow"/>
              </w:rPr>
              <w:t>generation</w:t>
            </w:r>
            <w:r w:rsidR="00F97282">
              <w:rPr>
                <w:rStyle w:val="FootnoteReference"/>
                <w:noProof/>
                <w:sz w:val="20"/>
                <w:szCs w:val="20"/>
                <w:highlight w:val="yellow"/>
              </w:rPr>
              <w:footnoteReference w:id="4"/>
            </w:r>
            <w:r w:rsidR="00806FF4" w:rsidRPr="00DD3F6D">
              <w:rPr>
                <w:noProof/>
                <w:sz w:val="20"/>
                <w:szCs w:val="20"/>
              </w:rPr>
              <w:t xml:space="preserve">, </w:t>
            </w:r>
            <w:r w:rsidR="00147D4B" w:rsidRPr="00DD3F6D">
              <w:rPr>
                <w:noProof/>
                <w:sz w:val="20"/>
                <w:szCs w:val="20"/>
              </w:rPr>
              <w:t xml:space="preserve">buildings, and </w:t>
            </w:r>
            <w:r w:rsidR="00666BA5">
              <w:rPr>
                <w:noProof/>
                <w:sz w:val="20"/>
                <w:szCs w:val="20"/>
              </w:rPr>
              <w:t xml:space="preserve">urban </w:t>
            </w:r>
            <w:r w:rsidR="00147D4B" w:rsidRPr="00DD3F6D">
              <w:rPr>
                <w:noProof/>
                <w:sz w:val="20"/>
                <w:szCs w:val="20"/>
              </w:rPr>
              <w:t>transport</w:t>
            </w:r>
          </w:p>
          <w:p w14:paraId="682D4446" w14:textId="77777777" w:rsidR="00AC78C3" w:rsidRDefault="00147D4B" w:rsidP="00147D4B">
            <w:pPr>
              <w:rPr>
                <w:noProof/>
                <w:sz w:val="20"/>
                <w:szCs w:val="20"/>
              </w:rPr>
            </w:pPr>
            <w:r w:rsidRPr="00DD3F6D">
              <w:rPr>
                <w:noProof/>
                <w:sz w:val="20"/>
                <w:szCs w:val="20"/>
              </w:rPr>
              <w:t>- Defined and established</w:t>
            </w:r>
            <w:r w:rsidRPr="006D0AB6">
              <w:rPr>
                <w:noProof/>
                <w:sz w:val="20"/>
                <w:szCs w:val="20"/>
              </w:rPr>
              <w:t xml:space="preserve"> sectoral and subsectoral </w:t>
            </w:r>
            <w:r w:rsidRPr="00806FF4">
              <w:rPr>
                <w:b/>
                <w:noProof/>
                <w:sz w:val="20"/>
                <w:szCs w:val="20"/>
              </w:rPr>
              <w:t>reference baseline</w:t>
            </w:r>
            <w:r w:rsidR="00301CF2">
              <w:rPr>
                <w:b/>
                <w:noProof/>
                <w:sz w:val="20"/>
                <w:szCs w:val="20"/>
              </w:rPr>
              <w:t>s</w:t>
            </w:r>
            <w:r w:rsidR="000F3B43">
              <w:rPr>
                <w:noProof/>
                <w:sz w:val="20"/>
                <w:szCs w:val="20"/>
              </w:rPr>
              <w:t xml:space="preserve"> for</w:t>
            </w:r>
            <w:r w:rsidRPr="006D0AB6">
              <w:rPr>
                <w:noProof/>
                <w:sz w:val="20"/>
                <w:szCs w:val="20"/>
              </w:rPr>
              <w:t xml:space="preserve"> oil&amp;gas end-use sector sectors</w:t>
            </w:r>
          </w:p>
          <w:p w14:paraId="2BA124F8" w14:textId="77777777" w:rsidR="0027046B" w:rsidRPr="006D0AB6" w:rsidRDefault="00AC78C3" w:rsidP="00806FF4">
            <w:pPr>
              <w:rPr>
                <w:noProof/>
                <w:sz w:val="20"/>
                <w:szCs w:val="20"/>
              </w:rPr>
            </w:pPr>
            <w:r>
              <w:rPr>
                <w:noProof/>
                <w:sz w:val="20"/>
                <w:szCs w:val="20"/>
              </w:rPr>
              <w:t xml:space="preserve">- </w:t>
            </w:r>
            <w:r w:rsidRPr="006D0AB6">
              <w:rPr>
                <w:noProof/>
                <w:sz w:val="20"/>
                <w:szCs w:val="20"/>
              </w:rPr>
              <w:t xml:space="preserve">Established and validated voluntary </w:t>
            </w:r>
            <w:r w:rsidRPr="00806FF4">
              <w:rPr>
                <w:b/>
                <w:noProof/>
                <w:sz w:val="20"/>
                <w:szCs w:val="20"/>
              </w:rPr>
              <w:t>emission reduction targets</w:t>
            </w:r>
            <w:r w:rsidRPr="006D0AB6">
              <w:rPr>
                <w:noProof/>
                <w:sz w:val="20"/>
                <w:szCs w:val="20"/>
              </w:rPr>
              <w:t xml:space="preserve"> in the  oil&amp;gas </w:t>
            </w:r>
            <w:r w:rsidRPr="006D0AB6">
              <w:rPr>
                <w:noProof/>
                <w:sz w:val="20"/>
                <w:szCs w:val="20"/>
              </w:rPr>
              <w:lastRenderedPageBreak/>
              <w:t>end-use sector</w:t>
            </w:r>
            <w:r w:rsidR="00806FF4">
              <w:rPr>
                <w:noProof/>
                <w:sz w:val="20"/>
                <w:szCs w:val="20"/>
              </w:rPr>
              <w:t>s</w:t>
            </w:r>
          </w:p>
        </w:tc>
        <w:tc>
          <w:tcPr>
            <w:tcW w:w="410" w:type="pct"/>
            <w:shd w:val="clear" w:color="auto" w:fill="FFFFFF"/>
          </w:tcPr>
          <w:p w14:paraId="60141B61" w14:textId="77777777" w:rsidR="0027046B" w:rsidRPr="006D0AB6" w:rsidRDefault="006D0AB6">
            <w:pPr>
              <w:rPr>
                <w:sz w:val="20"/>
                <w:szCs w:val="20"/>
              </w:rPr>
            </w:pPr>
            <w:r w:rsidRPr="006D0AB6">
              <w:rPr>
                <w:sz w:val="20"/>
                <w:szCs w:val="20"/>
              </w:rPr>
              <w:lastRenderedPageBreak/>
              <w:t>GEFTF</w:t>
            </w:r>
          </w:p>
        </w:tc>
        <w:tc>
          <w:tcPr>
            <w:tcW w:w="573" w:type="pct"/>
            <w:shd w:val="clear" w:color="auto" w:fill="FFFFFF"/>
          </w:tcPr>
          <w:p w14:paraId="7E6B378B" w14:textId="77777777" w:rsidR="0027046B" w:rsidRPr="006D0AB6" w:rsidRDefault="001E2241" w:rsidP="001E2241">
            <w:pPr>
              <w:jc w:val="right"/>
              <w:rPr>
                <w:sz w:val="20"/>
                <w:szCs w:val="20"/>
              </w:rPr>
            </w:pPr>
            <w:bookmarkStart w:id="17" w:name="B_GA_01"/>
            <w:r w:rsidRPr="006D0AB6">
              <w:rPr>
                <w:noProof/>
                <w:sz w:val="20"/>
                <w:szCs w:val="20"/>
              </w:rPr>
              <w:t>240,000</w:t>
            </w:r>
            <w:bookmarkEnd w:id="17"/>
          </w:p>
        </w:tc>
        <w:tc>
          <w:tcPr>
            <w:tcW w:w="596" w:type="pct"/>
            <w:shd w:val="clear" w:color="auto" w:fill="FFFFFF"/>
          </w:tcPr>
          <w:p w14:paraId="723ED17E" w14:textId="77777777" w:rsidR="0027046B" w:rsidRPr="006D0AB6" w:rsidRDefault="001E2241" w:rsidP="001E2241">
            <w:pPr>
              <w:jc w:val="right"/>
              <w:rPr>
                <w:sz w:val="20"/>
                <w:szCs w:val="20"/>
              </w:rPr>
            </w:pPr>
            <w:bookmarkStart w:id="18" w:name="B_CO_01"/>
            <w:r w:rsidRPr="006D0AB6">
              <w:rPr>
                <w:noProof/>
                <w:sz w:val="20"/>
                <w:szCs w:val="20"/>
              </w:rPr>
              <w:t>500,000</w:t>
            </w:r>
            <w:bookmarkEnd w:id="18"/>
          </w:p>
        </w:tc>
      </w:tr>
      <w:tr w:rsidR="002334D6" w:rsidRPr="006D0AB6" w14:paraId="69824EEC" w14:textId="77777777" w:rsidTr="006D0AB6">
        <w:trPr>
          <w:jc w:val="center"/>
        </w:trPr>
        <w:tc>
          <w:tcPr>
            <w:tcW w:w="995" w:type="pct"/>
            <w:shd w:val="clear" w:color="auto" w:fill="FFFFFF"/>
          </w:tcPr>
          <w:p w14:paraId="34A694BD" w14:textId="77777777" w:rsidR="0027046B" w:rsidRPr="006D0AB6" w:rsidRDefault="0027046B" w:rsidP="00301CF2">
            <w:pPr>
              <w:rPr>
                <w:sz w:val="20"/>
                <w:szCs w:val="20"/>
              </w:rPr>
            </w:pPr>
            <w:r w:rsidRPr="006D0AB6">
              <w:rPr>
                <w:sz w:val="20"/>
                <w:szCs w:val="20"/>
              </w:rPr>
              <w:lastRenderedPageBreak/>
              <w:t xml:space="preserve"> </w:t>
            </w:r>
            <w:bookmarkStart w:id="19" w:name="projComp_02"/>
            <w:r w:rsidR="00147D4B" w:rsidRPr="006D0AB6">
              <w:rPr>
                <w:noProof/>
                <w:sz w:val="20"/>
                <w:szCs w:val="20"/>
              </w:rPr>
              <w:t xml:space="preserve">2. </w:t>
            </w:r>
            <w:r w:rsidR="00301CF2">
              <w:rPr>
                <w:noProof/>
                <w:sz w:val="20"/>
                <w:szCs w:val="20"/>
              </w:rPr>
              <w:t>Development of m</w:t>
            </w:r>
            <w:r w:rsidR="00147D4B" w:rsidRPr="006D0AB6">
              <w:rPr>
                <w:noProof/>
                <w:sz w:val="20"/>
                <w:szCs w:val="20"/>
              </w:rPr>
              <w:t xml:space="preserve">itigation </w:t>
            </w:r>
            <w:r w:rsidR="00806FF4">
              <w:rPr>
                <w:noProof/>
                <w:sz w:val="20"/>
                <w:szCs w:val="20"/>
              </w:rPr>
              <w:t xml:space="preserve">actions </w:t>
            </w:r>
            <w:r w:rsidR="00147D4B" w:rsidRPr="006D0AB6">
              <w:rPr>
                <w:noProof/>
                <w:sz w:val="20"/>
                <w:szCs w:val="20"/>
              </w:rPr>
              <w:t>for oil&amp;gas end-use sectors</w:t>
            </w:r>
            <w:bookmarkEnd w:id="19"/>
          </w:p>
        </w:tc>
        <w:tc>
          <w:tcPr>
            <w:tcW w:w="410" w:type="pct"/>
            <w:shd w:val="clear" w:color="auto" w:fill="FFFFFF"/>
          </w:tcPr>
          <w:p w14:paraId="75A4F0CC" w14:textId="77777777" w:rsidR="0027046B" w:rsidRPr="006D0AB6" w:rsidRDefault="006D0AB6" w:rsidP="00A224EA">
            <w:pPr>
              <w:rPr>
                <w:sz w:val="20"/>
                <w:szCs w:val="20"/>
              </w:rPr>
            </w:pPr>
            <w:r w:rsidRPr="006D0AB6">
              <w:rPr>
                <w:sz w:val="20"/>
                <w:szCs w:val="20"/>
              </w:rPr>
              <w:t>TA</w:t>
            </w:r>
          </w:p>
        </w:tc>
        <w:tc>
          <w:tcPr>
            <w:tcW w:w="1023" w:type="pct"/>
            <w:shd w:val="clear" w:color="auto" w:fill="FFFFFF"/>
          </w:tcPr>
          <w:p w14:paraId="53B6AFA7" w14:textId="77777777" w:rsidR="0027046B" w:rsidRPr="006D0AB6" w:rsidRDefault="00147D4B" w:rsidP="00301CF2">
            <w:pPr>
              <w:rPr>
                <w:sz w:val="20"/>
                <w:szCs w:val="20"/>
              </w:rPr>
            </w:pPr>
            <w:bookmarkStart w:id="20" w:name="ExpectedOutCome_02"/>
            <w:r w:rsidRPr="006D0AB6">
              <w:rPr>
                <w:noProof/>
                <w:sz w:val="20"/>
                <w:szCs w:val="20"/>
              </w:rPr>
              <w:t xml:space="preserve">Prioritized feasible NAMAs are </w:t>
            </w:r>
            <w:bookmarkEnd w:id="20"/>
            <w:r w:rsidR="00806FF4">
              <w:rPr>
                <w:noProof/>
                <w:sz w:val="20"/>
                <w:szCs w:val="20"/>
              </w:rPr>
              <w:t>developed</w:t>
            </w:r>
            <w:r w:rsidR="00301CF2">
              <w:rPr>
                <w:noProof/>
                <w:sz w:val="20"/>
                <w:szCs w:val="20"/>
              </w:rPr>
              <w:t xml:space="preserve"> and capacity built for their design and implementation</w:t>
            </w:r>
          </w:p>
        </w:tc>
        <w:tc>
          <w:tcPr>
            <w:tcW w:w="993" w:type="pct"/>
            <w:shd w:val="clear" w:color="auto" w:fill="FFFFFF"/>
          </w:tcPr>
          <w:p w14:paraId="227D8917" w14:textId="77777777" w:rsidR="00147D4B" w:rsidRPr="006D0AB6" w:rsidRDefault="00147D4B" w:rsidP="00147D4B">
            <w:pPr>
              <w:rPr>
                <w:noProof/>
                <w:sz w:val="20"/>
                <w:szCs w:val="20"/>
              </w:rPr>
            </w:pPr>
            <w:r w:rsidRPr="006D0AB6">
              <w:rPr>
                <w:noProof/>
                <w:sz w:val="20"/>
                <w:szCs w:val="20"/>
              </w:rPr>
              <w:t xml:space="preserve"> </w:t>
            </w:r>
            <w:r w:rsidR="00913D81">
              <w:rPr>
                <w:noProof/>
                <w:sz w:val="20"/>
                <w:szCs w:val="20"/>
              </w:rPr>
              <w:t xml:space="preserve">- </w:t>
            </w:r>
            <w:r w:rsidRPr="006D0AB6">
              <w:rPr>
                <w:noProof/>
                <w:sz w:val="20"/>
                <w:szCs w:val="20"/>
              </w:rPr>
              <w:t xml:space="preserve">Developed and published detailed </w:t>
            </w:r>
            <w:r w:rsidRPr="00806FF4">
              <w:rPr>
                <w:b/>
                <w:noProof/>
                <w:sz w:val="20"/>
                <w:szCs w:val="20"/>
              </w:rPr>
              <w:t>marginal abatement cost curves</w:t>
            </w:r>
            <w:r w:rsidRPr="006D0AB6">
              <w:rPr>
                <w:noProof/>
                <w:sz w:val="20"/>
                <w:szCs w:val="20"/>
              </w:rPr>
              <w:t xml:space="preserve"> for the oil&amp;gas end-use sectors</w:t>
            </w:r>
          </w:p>
          <w:p w14:paraId="4500EEA7" w14:textId="77777777" w:rsidR="00147D4B" w:rsidRPr="006D0AB6" w:rsidRDefault="00147D4B" w:rsidP="00913D81">
            <w:pPr>
              <w:rPr>
                <w:noProof/>
                <w:sz w:val="20"/>
                <w:szCs w:val="20"/>
              </w:rPr>
            </w:pPr>
            <w:r w:rsidRPr="006D0AB6">
              <w:rPr>
                <w:noProof/>
                <w:sz w:val="20"/>
                <w:szCs w:val="20"/>
              </w:rPr>
              <w:t xml:space="preserve">- Completed comprehensive </w:t>
            </w:r>
            <w:r w:rsidRPr="00806FF4">
              <w:rPr>
                <w:b/>
                <w:noProof/>
                <w:sz w:val="20"/>
                <w:szCs w:val="20"/>
              </w:rPr>
              <w:t>barrier analysis</w:t>
            </w:r>
            <w:r w:rsidRPr="006D0AB6">
              <w:rPr>
                <w:noProof/>
                <w:sz w:val="20"/>
                <w:szCs w:val="20"/>
              </w:rPr>
              <w:t xml:space="preserve"> for mitigation options in oil&amp;gas end- use sector</w:t>
            </w:r>
          </w:p>
          <w:p w14:paraId="4FD05874" w14:textId="77777777" w:rsidR="0027046B" w:rsidRDefault="00147D4B" w:rsidP="00913D81">
            <w:pPr>
              <w:rPr>
                <w:noProof/>
                <w:sz w:val="20"/>
                <w:szCs w:val="20"/>
              </w:rPr>
            </w:pPr>
            <w:r w:rsidRPr="006D0AB6">
              <w:rPr>
                <w:noProof/>
                <w:sz w:val="20"/>
                <w:szCs w:val="20"/>
              </w:rPr>
              <w:t xml:space="preserve">- </w:t>
            </w:r>
            <w:r w:rsidR="00301CF2">
              <w:rPr>
                <w:noProof/>
                <w:sz w:val="20"/>
                <w:szCs w:val="20"/>
              </w:rPr>
              <w:t xml:space="preserve">Three </w:t>
            </w:r>
            <w:r w:rsidRPr="00806FF4">
              <w:rPr>
                <w:b/>
                <w:noProof/>
                <w:sz w:val="20"/>
                <w:szCs w:val="20"/>
              </w:rPr>
              <w:t>designed programs</w:t>
            </w:r>
            <w:r w:rsidRPr="006D0AB6">
              <w:rPr>
                <w:noProof/>
                <w:sz w:val="20"/>
                <w:szCs w:val="20"/>
              </w:rPr>
              <w:t xml:space="preserve"> for the implementation of selected prioritized feasible NAMAs in </w:t>
            </w:r>
            <w:r w:rsidR="00806FF4">
              <w:rPr>
                <w:noProof/>
                <w:sz w:val="20"/>
                <w:szCs w:val="20"/>
              </w:rPr>
              <w:t>main</w:t>
            </w:r>
            <w:r w:rsidRPr="006D0AB6">
              <w:rPr>
                <w:noProof/>
                <w:sz w:val="20"/>
                <w:szCs w:val="20"/>
              </w:rPr>
              <w:t xml:space="preserve"> oil&amp;gas end-use sub-sectors</w:t>
            </w:r>
          </w:p>
          <w:p w14:paraId="06DE478A" w14:textId="77777777" w:rsidR="00913D81" w:rsidRPr="006D0AB6" w:rsidRDefault="00913D81" w:rsidP="00301CF2">
            <w:pPr>
              <w:rPr>
                <w:noProof/>
                <w:sz w:val="20"/>
                <w:szCs w:val="20"/>
              </w:rPr>
            </w:pPr>
            <w:r>
              <w:rPr>
                <w:noProof/>
                <w:sz w:val="20"/>
                <w:szCs w:val="20"/>
              </w:rPr>
              <w:t xml:space="preserve">- </w:t>
            </w:r>
            <w:r w:rsidR="00301CF2" w:rsidRPr="009C59E8">
              <w:rPr>
                <w:noProof/>
                <w:sz w:val="20"/>
                <w:szCs w:val="20"/>
              </w:rPr>
              <w:t xml:space="preserve">Fully </w:t>
            </w:r>
            <w:r w:rsidR="00301CF2" w:rsidRPr="00301CF2">
              <w:rPr>
                <w:b/>
                <w:noProof/>
                <w:sz w:val="20"/>
                <w:szCs w:val="20"/>
              </w:rPr>
              <w:t>capable and qualified private and public sector entities</w:t>
            </w:r>
            <w:r w:rsidR="00301CF2" w:rsidRPr="009C59E8">
              <w:rPr>
                <w:noProof/>
                <w:sz w:val="20"/>
                <w:szCs w:val="20"/>
              </w:rPr>
              <w:t xml:space="preserve"> in the </w:t>
            </w:r>
            <w:r w:rsidR="00301CF2">
              <w:rPr>
                <w:noProof/>
                <w:sz w:val="20"/>
                <w:szCs w:val="20"/>
              </w:rPr>
              <w:t xml:space="preserve">design and </w:t>
            </w:r>
            <w:r w:rsidR="00301CF2" w:rsidRPr="009C59E8">
              <w:rPr>
                <w:noProof/>
                <w:sz w:val="20"/>
                <w:szCs w:val="20"/>
              </w:rPr>
              <w:t xml:space="preserve">implementation of </w:t>
            </w:r>
            <w:r w:rsidR="00301CF2">
              <w:rPr>
                <w:noProof/>
                <w:sz w:val="20"/>
                <w:szCs w:val="20"/>
              </w:rPr>
              <w:t>NAMAs</w:t>
            </w:r>
          </w:p>
        </w:tc>
        <w:tc>
          <w:tcPr>
            <w:tcW w:w="410" w:type="pct"/>
            <w:shd w:val="clear" w:color="auto" w:fill="FFFFFF"/>
          </w:tcPr>
          <w:p w14:paraId="186B341B" w14:textId="77777777" w:rsidR="0027046B" w:rsidRPr="006D0AB6" w:rsidRDefault="006D0AB6">
            <w:pPr>
              <w:rPr>
                <w:sz w:val="20"/>
                <w:szCs w:val="20"/>
              </w:rPr>
            </w:pPr>
            <w:r w:rsidRPr="006D0AB6">
              <w:rPr>
                <w:sz w:val="20"/>
                <w:szCs w:val="20"/>
              </w:rPr>
              <w:t>GEFTF</w:t>
            </w:r>
          </w:p>
        </w:tc>
        <w:tc>
          <w:tcPr>
            <w:tcW w:w="573" w:type="pct"/>
            <w:shd w:val="clear" w:color="auto" w:fill="FFFFFF"/>
          </w:tcPr>
          <w:p w14:paraId="63BAA169" w14:textId="77777777" w:rsidR="0027046B" w:rsidRPr="006D0AB6" w:rsidRDefault="001E2241" w:rsidP="001E2241">
            <w:pPr>
              <w:jc w:val="right"/>
              <w:rPr>
                <w:sz w:val="20"/>
                <w:szCs w:val="20"/>
              </w:rPr>
            </w:pPr>
            <w:bookmarkStart w:id="21" w:name="B_GA_02"/>
            <w:r w:rsidRPr="006D0AB6">
              <w:rPr>
                <w:noProof/>
                <w:sz w:val="20"/>
                <w:szCs w:val="20"/>
              </w:rPr>
              <w:t>560,000</w:t>
            </w:r>
            <w:bookmarkEnd w:id="21"/>
          </w:p>
        </w:tc>
        <w:tc>
          <w:tcPr>
            <w:tcW w:w="596" w:type="pct"/>
            <w:shd w:val="clear" w:color="auto" w:fill="FFFFFF"/>
          </w:tcPr>
          <w:p w14:paraId="09CF1C6E" w14:textId="77777777" w:rsidR="0027046B" w:rsidRPr="006D0AB6" w:rsidRDefault="001E2241" w:rsidP="001E2241">
            <w:pPr>
              <w:jc w:val="right"/>
              <w:rPr>
                <w:sz w:val="20"/>
                <w:szCs w:val="20"/>
              </w:rPr>
            </w:pPr>
            <w:bookmarkStart w:id="22" w:name="B_CO_02"/>
            <w:r w:rsidRPr="006D0AB6">
              <w:rPr>
                <w:noProof/>
                <w:sz w:val="20"/>
                <w:szCs w:val="20"/>
              </w:rPr>
              <w:t>900,000</w:t>
            </w:r>
            <w:bookmarkEnd w:id="22"/>
          </w:p>
        </w:tc>
      </w:tr>
      <w:tr w:rsidR="00DF40B0" w:rsidRPr="006D0AB6" w14:paraId="65BA8E8D" w14:textId="77777777" w:rsidTr="006D0AB6">
        <w:trPr>
          <w:jc w:val="center"/>
        </w:trPr>
        <w:tc>
          <w:tcPr>
            <w:tcW w:w="995" w:type="pct"/>
            <w:tcBorders>
              <w:bottom w:val="single" w:sz="4" w:space="0" w:color="auto"/>
            </w:tcBorders>
            <w:shd w:val="clear" w:color="auto" w:fill="FFFFFF"/>
          </w:tcPr>
          <w:p w14:paraId="471A9EF5" w14:textId="77777777" w:rsidR="00DF40B0" w:rsidRPr="006D0AB6" w:rsidRDefault="00DF40B0" w:rsidP="00544595">
            <w:pPr>
              <w:rPr>
                <w:sz w:val="20"/>
                <w:szCs w:val="20"/>
              </w:rPr>
            </w:pPr>
            <w:r w:rsidRPr="006D0AB6">
              <w:rPr>
                <w:sz w:val="20"/>
                <w:szCs w:val="20"/>
              </w:rPr>
              <w:t xml:space="preserve"> </w:t>
            </w:r>
            <w:bookmarkStart w:id="23" w:name="projComp_03"/>
            <w:r w:rsidRPr="006D0AB6">
              <w:rPr>
                <w:noProof/>
                <w:sz w:val="20"/>
                <w:szCs w:val="20"/>
              </w:rPr>
              <w:t xml:space="preserve">3. </w:t>
            </w:r>
            <w:r w:rsidR="00544595">
              <w:rPr>
                <w:noProof/>
                <w:sz w:val="20"/>
                <w:szCs w:val="20"/>
              </w:rPr>
              <w:t>I</w:t>
            </w:r>
            <w:r w:rsidRPr="006D0AB6">
              <w:rPr>
                <w:noProof/>
                <w:sz w:val="20"/>
                <w:szCs w:val="20"/>
              </w:rPr>
              <w:t>mplementation of NAMAs in the oil&amp;gas end-use sectors</w:t>
            </w:r>
            <w:bookmarkEnd w:id="23"/>
          </w:p>
        </w:tc>
        <w:tc>
          <w:tcPr>
            <w:tcW w:w="410" w:type="pct"/>
            <w:shd w:val="clear" w:color="auto" w:fill="FFFFFF"/>
          </w:tcPr>
          <w:p w14:paraId="6350F412" w14:textId="77777777" w:rsidR="00DF40B0" w:rsidRPr="006D0AB6" w:rsidRDefault="00DF40B0" w:rsidP="00A224EA">
            <w:pPr>
              <w:rPr>
                <w:sz w:val="20"/>
                <w:szCs w:val="20"/>
              </w:rPr>
            </w:pPr>
            <w:r w:rsidRPr="006D0AB6">
              <w:rPr>
                <w:sz w:val="20"/>
                <w:szCs w:val="20"/>
              </w:rPr>
              <w:t>TA</w:t>
            </w:r>
          </w:p>
        </w:tc>
        <w:tc>
          <w:tcPr>
            <w:tcW w:w="1023" w:type="pct"/>
            <w:vMerge w:val="restart"/>
            <w:shd w:val="clear" w:color="auto" w:fill="FFFFFF"/>
          </w:tcPr>
          <w:p w14:paraId="190048FF" w14:textId="5073087F" w:rsidR="00AF22CF" w:rsidRDefault="00544595" w:rsidP="00C2559E">
            <w:pPr>
              <w:rPr>
                <w:noProof/>
                <w:sz w:val="20"/>
                <w:szCs w:val="20"/>
              </w:rPr>
            </w:pPr>
            <w:bookmarkStart w:id="24" w:name="ExpectedOutCome_03"/>
            <w:r w:rsidRPr="00077A08">
              <w:rPr>
                <w:noProof/>
                <w:sz w:val="20"/>
                <w:szCs w:val="20"/>
              </w:rPr>
              <w:t>Policy and fina</w:t>
            </w:r>
            <w:r w:rsidR="00AF22CF">
              <w:rPr>
                <w:noProof/>
                <w:sz w:val="20"/>
                <w:szCs w:val="20"/>
              </w:rPr>
              <w:t>ncial framework established</w:t>
            </w:r>
          </w:p>
          <w:p w14:paraId="6819D85C" w14:textId="77777777" w:rsidR="00AF22CF" w:rsidRDefault="00AF22CF" w:rsidP="00C2559E">
            <w:pPr>
              <w:rPr>
                <w:noProof/>
                <w:sz w:val="20"/>
                <w:szCs w:val="20"/>
              </w:rPr>
            </w:pPr>
          </w:p>
          <w:p w14:paraId="1A8A0A40" w14:textId="77777777" w:rsidR="00AF22CF" w:rsidRDefault="00AF22CF" w:rsidP="00C2559E">
            <w:pPr>
              <w:rPr>
                <w:noProof/>
                <w:sz w:val="20"/>
                <w:szCs w:val="20"/>
              </w:rPr>
            </w:pPr>
          </w:p>
          <w:p w14:paraId="3CB8083A" w14:textId="77777777" w:rsidR="00AF22CF" w:rsidRDefault="00AF22CF" w:rsidP="00C2559E">
            <w:pPr>
              <w:rPr>
                <w:noProof/>
                <w:sz w:val="20"/>
                <w:szCs w:val="20"/>
              </w:rPr>
            </w:pPr>
          </w:p>
          <w:p w14:paraId="7B205DC7" w14:textId="77777777" w:rsidR="00AF22CF" w:rsidRDefault="00AF22CF" w:rsidP="00C2559E">
            <w:pPr>
              <w:rPr>
                <w:noProof/>
                <w:sz w:val="20"/>
                <w:szCs w:val="20"/>
              </w:rPr>
            </w:pPr>
          </w:p>
          <w:p w14:paraId="23BA8ACA" w14:textId="77777777" w:rsidR="00AF22CF" w:rsidRDefault="00AF22CF" w:rsidP="00C2559E">
            <w:pPr>
              <w:rPr>
                <w:noProof/>
                <w:sz w:val="20"/>
                <w:szCs w:val="20"/>
              </w:rPr>
            </w:pPr>
          </w:p>
          <w:p w14:paraId="466B25A6" w14:textId="77777777" w:rsidR="00AF22CF" w:rsidRDefault="00AF22CF" w:rsidP="00C2559E">
            <w:pPr>
              <w:rPr>
                <w:noProof/>
                <w:sz w:val="20"/>
                <w:szCs w:val="20"/>
              </w:rPr>
            </w:pPr>
          </w:p>
          <w:p w14:paraId="179028F9" w14:textId="77777777" w:rsidR="00AF22CF" w:rsidRDefault="00AF22CF" w:rsidP="00C2559E">
            <w:pPr>
              <w:rPr>
                <w:noProof/>
                <w:sz w:val="20"/>
                <w:szCs w:val="20"/>
              </w:rPr>
            </w:pPr>
          </w:p>
          <w:p w14:paraId="10809FDE" w14:textId="77777777" w:rsidR="00AF22CF" w:rsidRDefault="00AF22CF" w:rsidP="00C2559E">
            <w:pPr>
              <w:rPr>
                <w:noProof/>
                <w:sz w:val="20"/>
                <w:szCs w:val="20"/>
              </w:rPr>
            </w:pPr>
          </w:p>
          <w:p w14:paraId="3181BF19" w14:textId="77777777" w:rsidR="00AF22CF" w:rsidRDefault="00AF22CF" w:rsidP="00C2559E">
            <w:pPr>
              <w:rPr>
                <w:noProof/>
                <w:sz w:val="20"/>
                <w:szCs w:val="20"/>
              </w:rPr>
            </w:pPr>
          </w:p>
          <w:p w14:paraId="598CE571" w14:textId="77777777" w:rsidR="00AF22CF" w:rsidRDefault="00AF22CF" w:rsidP="00C2559E">
            <w:pPr>
              <w:rPr>
                <w:noProof/>
                <w:sz w:val="20"/>
                <w:szCs w:val="20"/>
              </w:rPr>
            </w:pPr>
          </w:p>
          <w:p w14:paraId="0D4B0535" w14:textId="77777777" w:rsidR="00AF22CF" w:rsidRDefault="00AF22CF" w:rsidP="00C2559E">
            <w:pPr>
              <w:rPr>
                <w:noProof/>
                <w:sz w:val="20"/>
                <w:szCs w:val="20"/>
              </w:rPr>
            </w:pPr>
          </w:p>
          <w:p w14:paraId="12137DFA" w14:textId="77777777" w:rsidR="00AF22CF" w:rsidRDefault="00AF22CF" w:rsidP="00C2559E">
            <w:pPr>
              <w:rPr>
                <w:noProof/>
                <w:sz w:val="20"/>
                <w:szCs w:val="20"/>
              </w:rPr>
            </w:pPr>
          </w:p>
          <w:p w14:paraId="10D48A62" w14:textId="77777777" w:rsidR="00AF22CF" w:rsidRDefault="00AF22CF" w:rsidP="00C2559E">
            <w:pPr>
              <w:rPr>
                <w:noProof/>
                <w:sz w:val="20"/>
                <w:szCs w:val="20"/>
              </w:rPr>
            </w:pPr>
          </w:p>
          <w:p w14:paraId="44CD8BAC" w14:textId="77777777" w:rsidR="00AF22CF" w:rsidRDefault="00AF22CF" w:rsidP="00C2559E">
            <w:pPr>
              <w:rPr>
                <w:noProof/>
                <w:sz w:val="20"/>
                <w:szCs w:val="20"/>
              </w:rPr>
            </w:pPr>
          </w:p>
          <w:p w14:paraId="1C74168F" w14:textId="77777777" w:rsidR="00AF22CF" w:rsidRDefault="00AF22CF" w:rsidP="00C2559E">
            <w:pPr>
              <w:rPr>
                <w:noProof/>
                <w:sz w:val="20"/>
                <w:szCs w:val="20"/>
              </w:rPr>
            </w:pPr>
          </w:p>
          <w:p w14:paraId="33B032ED" w14:textId="7C418CE7" w:rsidR="00C2559E" w:rsidRPr="00077A08" w:rsidRDefault="00AF22CF" w:rsidP="00C2559E">
            <w:pPr>
              <w:rPr>
                <w:sz w:val="20"/>
                <w:szCs w:val="20"/>
              </w:rPr>
            </w:pPr>
            <w:r w:rsidRPr="00AF22CF">
              <w:rPr>
                <w:noProof/>
                <w:sz w:val="20"/>
                <w:szCs w:val="20"/>
                <w:highlight w:val="yellow"/>
              </w:rPr>
              <w:t>P</w:t>
            </w:r>
            <w:r w:rsidR="00544595" w:rsidRPr="00AF22CF">
              <w:rPr>
                <w:noProof/>
                <w:sz w:val="20"/>
                <w:szCs w:val="20"/>
                <w:highlight w:val="yellow"/>
              </w:rPr>
              <w:t xml:space="preserve">rioritized NAMAs implemented leading to </w:t>
            </w:r>
            <w:r>
              <w:rPr>
                <w:noProof/>
                <w:sz w:val="20"/>
                <w:szCs w:val="20"/>
                <w:highlight w:val="yellow"/>
              </w:rPr>
              <w:t xml:space="preserve">direct </w:t>
            </w:r>
            <w:r w:rsidR="00544595" w:rsidRPr="00AF22CF">
              <w:rPr>
                <w:noProof/>
                <w:sz w:val="20"/>
                <w:szCs w:val="20"/>
                <w:highlight w:val="yellow"/>
              </w:rPr>
              <w:t xml:space="preserve">GHG emission reduction of </w:t>
            </w:r>
            <w:r w:rsidRPr="00AF22CF">
              <w:rPr>
                <w:sz w:val="20"/>
                <w:szCs w:val="20"/>
                <w:highlight w:val="yellow"/>
              </w:rPr>
              <w:t>626</w:t>
            </w:r>
            <w:r w:rsidR="00C2559E" w:rsidRPr="00AF22CF">
              <w:rPr>
                <w:sz w:val="20"/>
                <w:szCs w:val="20"/>
                <w:highlight w:val="yellow"/>
              </w:rPr>
              <w:t>,000 tCO2</w:t>
            </w:r>
          </w:p>
          <w:p w14:paraId="099E8684" w14:textId="77777777" w:rsidR="00DF40B0" w:rsidRPr="00077A08" w:rsidRDefault="00DF40B0" w:rsidP="00407952">
            <w:pPr>
              <w:rPr>
                <w:sz w:val="20"/>
                <w:szCs w:val="20"/>
              </w:rPr>
            </w:pPr>
            <w:bookmarkStart w:id="25" w:name="ExpectedOutCome_04"/>
            <w:bookmarkEnd w:id="24"/>
            <w:r w:rsidRPr="00077A08">
              <w:rPr>
                <w:noProof/>
                <w:sz w:val="20"/>
                <w:szCs w:val="20"/>
              </w:rPr>
              <w:t xml:space="preserve">     </w:t>
            </w:r>
            <w:bookmarkEnd w:id="25"/>
          </w:p>
        </w:tc>
        <w:tc>
          <w:tcPr>
            <w:tcW w:w="993" w:type="pct"/>
            <w:shd w:val="clear" w:color="auto" w:fill="FFFFFF"/>
          </w:tcPr>
          <w:p w14:paraId="219B3652" w14:textId="77777777" w:rsidR="00DF40B0" w:rsidRPr="00077A08" w:rsidRDefault="00DF40B0" w:rsidP="00147D4B">
            <w:pPr>
              <w:rPr>
                <w:noProof/>
                <w:sz w:val="20"/>
                <w:szCs w:val="20"/>
              </w:rPr>
            </w:pPr>
            <w:r w:rsidRPr="00077A08">
              <w:rPr>
                <w:noProof/>
                <w:sz w:val="20"/>
                <w:szCs w:val="20"/>
              </w:rPr>
              <w:t xml:space="preserve"> - Defined and approved </w:t>
            </w:r>
            <w:r w:rsidRPr="00077A08">
              <w:rPr>
                <w:b/>
                <w:noProof/>
                <w:sz w:val="20"/>
                <w:szCs w:val="20"/>
              </w:rPr>
              <w:t>policy and regulatory instruments</w:t>
            </w:r>
            <w:r w:rsidRPr="00077A08">
              <w:rPr>
                <w:noProof/>
                <w:sz w:val="20"/>
                <w:szCs w:val="20"/>
              </w:rPr>
              <w:t xml:space="preserve"> to promote/de-risk investment in prioritized mitigation actions in the oil&amp;gas end-use sectors.</w:t>
            </w:r>
          </w:p>
          <w:p w14:paraId="5A7F9C63" w14:textId="77777777" w:rsidR="00DF40B0" w:rsidRPr="00077A08" w:rsidRDefault="00DF40B0" w:rsidP="00147D4B">
            <w:pPr>
              <w:rPr>
                <w:noProof/>
                <w:sz w:val="20"/>
                <w:szCs w:val="20"/>
              </w:rPr>
            </w:pPr>
            <w:r w:rsidRPr="00077A08">
              <w:rPr>
                <w:noProof/>
                <w:sz w:val="20"/>
                <w:szCs w:val="20"/>
              </w:rPr>
              <w:t xml:space="preserve">- Defined and established </w:t>
            </w:r>
            <w:r w:rsidRPr="00077A08">
              <w:rPr>
                <w:b/>
                <w:noProof/>
                <w:sz w:val="20"/>
                <w:szCs w:val="20"/>
              </w:rPr>
              <w:t>financial instruments</w:t>
            </w:r>
            <w:r w:rsidRPr="00077A08">
              <w:rPr>
                <w:noProof/>
                <w:sz w:val="20"/>
                <w:szCs w:val="20"/>
              </w:rPr>
              <w:t xml:space="preserve"> mitigation actions in the oil&amp;gas end-use sectors, such as gas offset scheme</w:t>
            </w:r>
          </w:p>
          <w:p w14:paraId="6C9F6F6F" w14:textId="77777777" w:rsidR="00DF40B0" w:rsidRPr="00077A08" w:rsidRDefault="00DF40B0" w:rsidP="00DF40B0">
            <w:pPr>
              <w:rPr>
                <w:noProof/>
                <w:sz w:val="20"/>
                <w:szCs w:val="20"/>
              </w:rPr>
            </w:pPr>
          </w:p>
        </w:tc>
        <w:tc>
          <w:tcPr>
            <w:tcW w:w="410" w:type="pct"/>
            <w:shd w:val="clear" w:color="auto" w:fill="FFFFFF"/>
          </w:tcPr>
          <w:p w14:paraId="3B82DDA0" w14:textId="77777777" w:rsidR="00DF40B0" w:rsidRPr="00077A08" w:rsidRDefault="00DF40B0">
            <w:pPr>
              <w:rPr>
                <w:sz w:val="20"/>
                <w:szCs w:val="20"/>
              </w:rPr>
            </w:pPr>
            <w:r w:rsidRPr="00077A08">
              <w:rPr>
                <w:sz w:val="20"/>
                <w:szCs w:val="20"/>
              </w:rPr>
              <w:t>GEFTF</w:t>
            </w:r>
          </w:p>
        </w:tc>
        <w:tc>
          <w:tcPr>
            <w:tcW w:w="573" w:type="pct"/>
            <w:tcBorders>
              <w:bottom w:val="single" w:sz="4" w:space="0" w:color="auto"/>
            </w:tcBorders>
            <w:shd w:val="clear" w:color="auto" w:fill="FFFFFF"/>
          </w:tcPr>
          <w:p w14:paraId="267D16F9" w14:textId="77777777" w:rsidR="00DF40B0" w:rsidRPr="00077A08" w:rsidRDefault="00544595" w:rsidP="001E2241">
            <w:pPr>
              <w:jc w:val="right"/>
              <w:rPr>
                <w:sz w:val="20"/>
                <w:szCs w:val="20"/>
              </w:rPr>
            </w:pPr>
            <w:bookmarkStart w:id="26" w:name="B_GA_03"/>
            <w:r w:rsidRPr="00077A08">
              <w:rPr>
                <w:noProof/>
                <w:sz w:val="20"/>
                <w:szCs w:val="20"/>
              </w:rPr>
              <w:t>8</w:t>
            </w:r>
            <w:r w:rsidR="00DF40B0" w:rsidRPr="00077A08">
              <w:rPr>
                <w:noProof/>
                <w:sz w:val="20"/>
                <w:szCs w:val="20"/>
              </w:rPr>
              <w:t>00,000</w:t>
            </w:r>
            <w:bookmarkEnd w:id="26"/>
          </w:p>
        </w:tc>
        <w:tc>
          <w:tcPr>
            <w:tcW w:w="596" w:type="pct"/>
            <w:tcBorders>
              <w:bottom w:val="single" w:sz="4" w:space="0" w:color="auto"/>
            </w:tcBorders>
            <w:shd w:val="clear" w:color="auto" w:fill="FFFFFF"/>
          </w:tcPr>
          <w:p w14:paraId="27E70BC0" w14:textId="77777777" w:rsidR="00DF40B0" w:rsidRPr="00077A08" w:rsidRDefault="00F12F08" w:rsidP="001E2241">
            <w:pPr>
              <w:jc w:val="right"/>
              <w:rPr>
                <w:sz w:val="20"/>
                <w:szCs w:val="20"/>
              </w:rPr>
            </w:pPr>
            <w:bookmarkStart w:id="27" w:name="B_CO_03"/>
            <w:r w:rsidRPr="00077A08">
              <w:rPr>
                <w:noProof/>
                <w:sz w:val="20"/>
                <w:szCs w:val="20"/>
              </w:rPr>
              <w:t>9</w:t>
            </w:r>
            <w:r w:rsidR="00DF40B0" w:rsidRPr="00077A08">
              <w:rPr>
                <w:noProof/>
                <w:sz w:val="20"/>
                <w:szCs w:val="20"/>
              </w:rPr>
              <w:t>00,000</w:t>
            </w:r>
            <w:bookmarkEnd w:id="27"/>
          </w:p>
        </w:tc>
      </w:tr>
      <w:tr w:rsidR="00DF40B0" w:rsidRPr="006D0AB6" w14:paraId="0F677EAC" w14:textId="77777777" w:rsidTr="006D0AB6">
        <w:trPr>
          <w:jc w:val="center"/>
        </w:trPr>
        <w:tc>
          <w:tcPr>
            <w:tcW w:w="995" w:type="pct"/>
            <w:tcBorders>
              <w:bottom w:val="single" w:sz="4" w:space="0" w:color="auto"/>
            </w:tcBorders>
            <w:shd w:val="clear" w:color="auto" w:fill="FFFFFF"/>
          </w:tcPr>
          <w:p w14:paraId="40FBB434" w14:textId="428E34A9" w:rsidR="00DF40B0" w:rsidRPr="006D0AB6" w:rsidRDefault="00DF40B0" w:rsidP="006416E3">
            <w:pPr>
              <w:rPr>
                <w:sz w:val="20"/>
                <w:szCs w:val="20"/>
              </w:rPr>
            </w:pPr>
            <w:r w:rsidRPr="006D0AB6">
              <w:rPr>
                <w:sz w:val="20"/>
                <w:szCs w:val="20"/>
              </w:rPr>
              <w:t xml:space="preserve"> </w:t>
            </w:r>
            <w:bookmarkStart w:id="28" w:name="projComp_04"/>
            <w:r w:rsidRPr="006D0AB6">
              <w:rPr>
                <w:noProof/>
                <w:sz w:val="20"/>
                <w:szCs w:val="20"/>
              </w:rPr>
              <w:t xml:space="preserve">     </w:t>
            </w:r>
            <w:bookmarkEnd w:id="28"/>
          </w:p>
        </w:tc>
        <w:tc>
          <w:tcPr>
            <w:tcW w:w="410" w:type="pct"/>
            <w:shd w:val="clear" w:color="auto" w:fill="FFFFFF"/>
          </w:tcPr>
          <w:p w14:paraId="133D07D5" w14:textId="77777777" w:rsidR="00DF40B0" w:rsidRPr="006D0AB6" w:rsidRDefault="00DF40B0" w:rsidP="00A224EA">
            <w:pPr>
              <w:rPr>
                <w:sz w:val="20"/>
                <w:szCs w:val="20"/>
              </w:rPr>
            </w:pPr>
            <w:r w:rsidRPr="006D0AB6">
              <w:rPr>
                <w:sz w:val="20"/>
                <w:szCs w:val="20"/>
              </w:rPr>
              <w:t>Inv</w:t>
            </w:r>
          </w:p>
        </w:tc>
        <w:tc>
          <w:tcPr>
            <w:tcW w:w="1023" w:type="pct"/>
            <w:vMerge/>
            <w:shd w:val="clear" w:color="auto" w:fill="FFFFFF"/>
          </w:tcPr>
          <w:p w14:paraId="27624129" w14:textId="77777777" w:rsidR="00DF40B0" w:rsidRPr="00077A08" w:rsidRDefault="00DF40B0" w:rsidP="00407952">
            <w:pPr>
              <w:rPr>
                <w:sz w:val="20"/>
                <w:szCs w:val="20"/>
              </w:rPr>
            </w:pPr>
          </w:p>
        </w:tc>
        <w:tc>
          <w:tcPr>
            <w:tcW w:w="993" w:type="pct"/>
            <w:shd w:val="clear" w:color="auto" w:fill="FFFFFF"/>
          </w:tcPr>
          <w:p w14:paraId="7F6A8002" w14:textId="508ADBB2" w:rsidR="00DF40B0" w:rsidRPr="00077A08" w:rsidRDefault="00DF40B0" w:rsidP="001E2241">
            <w:pPr>
              <w:rPr>
                <w:noProof/>
                <w:sz w:val="20"/>
                <w:szCs w:val="20"/>
              </w:rPr>
            </w:pPr>
            <w:r w:rsidRPr="00077A08">
              <w:rPr>
                <w:noProof/>
                <w:sz w:val="20"/>
                <w:szCs w:val="20"/>
              </w:rPr>
              <w:t>- Three implemented NAMAs in oil&amp;gas end-use sector</w:t>
            </w:r>
            <w:r w:rsidR="00DD3F6D">
              <w:rPr>
                <w:noProof/>
                <w:sz w:val="20"/>
                <w:szCs w:val="20"/>
              </w:rPr>
              <w:t>s</w:t>
            </w:r>
            <w:r w:rsidRPr="00077A08">
              <w:rPr>
                <w:noProof/>
                <w:sz w:val="20"/>
                <w:szCs w:val="20"/>
              </w:rPr>
              <w:t>, with at least one NAMA utilizing carbon market mechanisms</w:t>
            </w:r>
          </w:p>
          <w:p w14:paraId="33BDBCD2" w14:textId="77777777" w:rsidR="00DF40B0" w:rsidRPr="00077A08" w:rsidRDefault="00DF40B0" w:rsidP="001E2241">
            <w:pPr>
              <w:rPr>
                <w:sz w:val="20"/>
                <w:szCs w:val="20"/>
              </w:rPr>
            </w:pPr>
          </w:p>
        </w:tc>
        <w:tc>
          <w:tcPr>
            <w:tcW w:w="410" w:type="pct"/>
            <w:shd w:val="clear" w:color="auto" w:fill="FFFFFF"/>
          </w:tcPr>
          <w:p w14:paraId="110193F1" w14:textId="77777777" w:rsidR="00DF40B0" w:rsidRPr="00077A08" w:rsidRDefault="00DF40B0">
            <w:pPr>
              <w:rPr>
                <w:sz w:val="20"/>
                <w:szCs w:val="20"/>
              </w:rPr>
            </w:pPr>
            <w:r w:rsidRPr="00077A08">
              <w:rPr>
                <w:sz w:val="20"/>
                <w:szCs w:val="20"/>
              </w:rPr>
              <w:t>GEFTF</w:t>
            </w:r>
          </w:p>
        </w:tc>
        <w:tc>
          <w:tcPr>
            <w:tcW w:w="573" w:type="pct"/>
            <w:tcBorders>
              <w:bottom w:val="single" w:sz="4" w:space="0" w:color="auto"/>
            </w:tcBorders>
            <w:shd w:val="clear" w:color="auto" w:fill="FFFFFF"/>
          </w:tcPr>
          <w:p w14:paraId="04953B41" w14:textId="77777777" w:rsidR="00DF40B0" w:rsidRPr="00077A08" w:rsidRDefault="00DF40B0" w:rsidP="001E2241">
            <w:pPr>
              <w:jc w:val="right"/>
              <w:rPr>
                <w:sz w:val="20"/>
                <w:szCs w:val="20"/>
              </w:rPr>
            </w:pPr>
            <w:bookmarkStart w:id="29" w:name="B_GA_04"/>
            <w:r w:rsidRPr="00077A08">
              <w:rPr>
                <w:noProof/>
                <w:sz w:val="20"/>
                <w:szCs w:val="20"/>
              </w:rPr>
              <w:t>1,300,000</w:t>
            </w:r>
            <w:bookmarkEnd w:id="29"/>
          </w:p>
        </w:tc>
        <w:tc>
          <w:tcPr>
            <w:tcW w:w="596" w:type="pct"/>
            <w:tcBorders>
              <w:bottom w:val="single" w:sz="4" w:space="0" w:color="auto"/>
            </w:tcBorders>
            <w:shd w:val="clear" w:color="auto" w:fill="FFFFFF"/>
          </w:tcPr>
          <w:p w14:paraId="6C0ED0A7" w14:textId="77777777" w:rsidR="00DF40B0" w:rsidRPr="00077A08" w:rsidRDefault="00F12F08" w:rsidP="00F12F08">
            <w:pPr>
              <w:jc w:val="right"/>
              <w:rPr>
                <w:sz w:val="20"/>
                <w:szCs w:val="20"/>
              </w:rPr>
            </w:pPr>
            <w:bookmarkStart w:id="30" w:name="B_CO_04"/>
            <w:r w:rsidRPr="00077A08">
              <w:rPr>
                <w:noProof/>
                <w:sz w:val="20"/>
                <w:szCs w:val="20"/>
              </w:rPr>
              <w:t>30</w:t>
            </w:r>
            <w:r w:rsidR="00DF40B0" w:rsidRPr="00077A08">
              <w:rPr>
                <w:noProof/>
                <w:sz w:val="20"/>
                <w:szCs w:val="20"/>
              </w:rPr>
              <w:t>,</w:t>
            </w:r>
            <w:r w:rsidRPr="00077A08">
              <w:rPr>
                <w:noProof/>
                <w:sz w:val="20"/>
                <w:szCs w:val="20"/>
              </w:rPr>
              <w:t>0</w:t>
            </w:r>
            <w:r w:rsidR="00DF40B0" w:rsidRPr="00077A08">
              <w:rPr>
                <w:noProof/>
                <w:sz w:val="20"/>
                <w:szCs w:val="20"/>
              </w:rPr>
              <w:t>00,000</w:t>
            </w:r>
            <w:bookmarkEnd w:id="30"/>
          </w:p>
        </w:tc>
      </w:tr>
      <w:tr w:rsidR="002334D6" w:rsidRPr="006D0AB6" w14:paraId="059ED764" w14:textId="77777777" w:rsidTr="00544595">
        <w:trPr>
          <w:trHeight w:val="3960"/>
          <w:jc w:val="center"/>
        </w:trPr>
        <w:tc>
          <w:tcPr>
            <w:tcW w:w="995" w:type="pct"/>
            <w:tcBorders>
              <w:bottom w:val="single" w:sz="4" w:space="0" w:color="auto"/>
            </w:tcBorders>
            <w:shd w:val="clear" w:color="auto" w:fill="FFFFFF"/>
          </w:tcPr>
          <w:p w14:paraId="10734476" w14:textId="77777777" w:rsidR="0027046B" w:rsidRPr="006D0AB6" w:rsidRDefault="0027046B" w:rsidP="001E2241">
            <w:pPr>
              <w:rPr>
                <w:sz w:val="20"/>
                <w:szCs w:val="20"/>
              </w:rPr>
            </w:pPr>
            <w:r w:rsidRPr="006D0AB6">
              <w:rPr>
                <w:sz w:val="20"/>
                <w:szCs w:val="20"/>
              </w:rPr>
              <w:lastRenderedPageBreak/>
              <w:t xml:space="preserve"> </w:t>
            </w:r>
            <w:bookmarkStart w:id="31" w:name="projComp_05"/>
            <w:r w:rsidR="001E2241" w:rsidRPr="006D0AB6">
              <w:rPr>
                <w:noProof/>
                <w:sz w:val="20"/>
                <w:szCs w:val="20"/>
              </w:rPr>
              <w:t>4. MRV system and national registry for mitigation actions in the energy generation and end-use sectors</w:t>
            </w:r>
            <w:bookmarkEnd w:id="31"/>
          </w:p>
        </w:tc>
        <w:tc>
          <w:tcPr>
            <w:tcW w:w="410" w:type="pct"/>
            <w:shd w:val="clear" w:color="auto" w:fill="FFFFFF"/>
          </w:tcPr>
          <w:p w14:paraId="31160A48" w14:textId="77777777" w:rsidR="0027046B" w:rsidRPr="006D0AB6" w:rsidRDefault="006D0AB6" w:rsidP="00C54032">
            <w:pPr>
              <w:rPr>
                <w:sz w:val="20"/>
                <w:szCs w:val="20"/>
              </w:rPr>
            </w:pPr>
            <w:r w:rsidRPr="006D0AB6">
              <w:rPr>
                <w:sz w:val="20"/>
                <w:szCs w:val="20"/>
              </w:rPr>
              <w:t>TA</w:t>
            </w:r>
          </w:p>
        </w:tc>
        <w:tc>
          <w:tcPr>
            <w:tcW w:w="1023" w:type="pct"/>
            <w:shd w:val="clear" w:color="auto" w:fill="FFFFFF"/>
          </w:tcPr>
          <w:p w14:paraId="35953477" w14:textId="77777777" w:rsidR="001E2241" w:rsidRPr="006D0AB6" w:rsidRDefault="001E2241" w:rsidP="001E2241">
            <w:pPr>
              <w:rPr>
                <w:noProof/>
                <w:sz w:val="20"/>
                <w:szCs w:val="20"/>
              </w:rPr>
            </w:pPr>
            <w:bookmarkStart w:id="32" w:name="ExpectedOutCome_05"/>
            <w:r w:rsidRPr="006D0AB6">
              <w:rPr>
                <w:noProof/>
                <w:sz w:val="20"/>
                <w:szCs w:val="20"/>
              </w:rPr>
              <w:t>Accurate measurement</w:t>
            </w:r>
          </w:p>
          <w:p w14:paraId="380A7792" w14:textId="77777777" w:rsidR="001E2241" w:rsidRPr="006D0AB6" w:rsidRDefault="001E2241" w:rsidP="001E2241">
            <w:pPr>
              <w:rPr>
                <w:noProof/>
                <w:sz w:val="20"/>
                <w:szCs w:val="20"/>
              </w:rPr>
            </w:pPr>
            <w:r w:rsidRPr="006D0AB6">
              <w:rPr>
                <w:noProof/>
                <w:sz w:val="20"/>
                <w:szCs w:val="20"/>
              </w:rPr>
              <w:t>and accounting of actual GHG emission reductions from mitigation actions in the oil&amp;gas end-use sectors</w:t>
            </w:r>
          </w:p>
          <w:bookmarkEnd w:id="32"/>
          <w:p w14:paraId="0499FAAD" w14:textId="77777777" w:rsidR="0027046B" w:rsidRPr="006D0AB6" w:rsidRDefault="0027046B" w:rsidP="001E2241">
            <w:pPr>
              <w:rPr>
                <w:sz w:val="20"/>
                <w:szCs w:val="20"/>
              </w:rPr>
            </w:pPr>
          </w:p>
        </w:tc>
        <w:tc>
          <w:tcPr>
            <w:tcW w:w="993" w:type="pct"/>
            <w:shd w:val="clear" w:color="auto" w:fill="FFFFFF"/>
          </w:tcPr>
          <w:p w14:paraId="22328223" w14:textId="77777777" w:rsidR="001E2241" w:rsidRPr="006D0AB6" w:rsidRDefault="006D0AB6" w:rsidP="001E2241">
            <w:pPr>
              <w:rPr>
                <w:noProof/>
                <w:sz w:val="20"/>
                <w:szCs w:val="20"/>
              </w:rPr>
            </w:pPr>
            <w:r>
              <w:rPr>
                <w:noProof/>
                <w:sz w:val="20"/>
                <w:szCs w:val="20"/>
              </w:rPr>
              <w:t>-</w:t>
            </w:r>
            <w:r w:rsidR="001E2241" w:rsidRPr="006D0AB6">
              <w:rPr>
                <w:noProof/>
                <w:sz w:val="20"/>
                <w:szCs w:val="20"/>
              </w:rPr>
              <w:t xml:space="preserve">Established and operational national </w:t>
            </w:r>
            <w:r w:rsidR="001E2241" w:rsidRPr="00544595">
              <w:rPr>
                <w:b/>
                <w:noProof/>
                <w:sz w:val="20"/>
                <w:szCs w:val="20"/>
              </w:rPr>
              <w:t xml:space="preserve">registry </w:t>
            </w:r>
            <w:r w:rsidR="001E2241" w:rsidRPr="006D0AB6">
              <w:rPr>
                <w:noProof/>
                <w:sz w:val="20"/>
                <w:szCs w:val="20"/>
              </w:rPr>
              <w:t>mechanism for mitigation actions in the oil&amp;gas end-use sector</w:t>
            </w:r>
          </w:p>
          <w:p w14:paraId="06B7308A" w14:textId="77777777" w:rsidR="001E2241" w:rsidRPr="006D0AB6" w:rsidRDefault="001E2241" w:rsidP="001E2241">
            <w:pPr>
              <w:rPr>
                <w:noProof/>
                <w:sz w:val="20"/>
                <w:szCs w:val="20"/>
              </w:rPr>
            </w:pPr>
            <w:r w:rsidRPr="006D0AB6">
              <w:rPr>
                <w:noProof/>
                <w:sz w:val="20"/>
                <w:szCs w:val="20"/>
              </w:rPr>
              <w:t xml:space="preserve">- </w:t>
            </w:r>
            <w:r w:rsidRPr="00544595">
              <w:rPr>
                <w:b/>
                <w:noProof/>
                <w:sz w:val="20"/>
                <w:szCs w:val="20"/>
              </w:rPr>
              <w:t>MRV Committee</w:t>
            </w:r>
            <w:r w:rsidRPr="006D0AB6">
              <w:rPr>
                <w:noProof/>
                <w:sz w:val="20"/>
                <w:szCs w:val="20"/>
              </w:rPr>
              <w:t xml:space="preserve"> established for the selected NAMAs </w:t>
            </w:r>
          </w:p>
          <w:p w14:paraId="3CCDDDF9" w14:textId="77777777" w:rsidR="00544595" w:rsidRDefault="00544595" w:rsidP="001E2241">
            <w:pPr>
              <w:rPr>
                <w:noProof/>
                <w:sz w:val="20"/>
                <w:szCs w:val="20"/>
              </w:rPr>
            </w:pPr>
            <w:r w:rsidRPr="006D0AB6">
              <w:rPr>
                <w:noProof/>
                <w:sz w:val="20"/>
                <w:szCs w:val="20"/>
              </w:rPr>
              <w:t> -</w:t>
            </w:r>
            <w:r>
              <w:rPr>
                <w:noProof/>
                <w:sz w:val="20"/>
                <w:szCs w:val="20"/>
              </w:rPr>
              <w:t xml:space="preserve"> </w:t>
            </w:r>
            <w:r w:rsidRPr="006D0AB6">
              <w:rPr>
                <w:noProof/>
                <w:sz w:val="20"/>
                <w:szCs w:val="20"/>
              </w:rPr>
              <w:t xml:space="preserve">Developed National </w:t>
            </w:r>
            <w:r w:rsidRPr="00544595">
              <w:rPr>
                <w:b/>
                <w:noProof/>
                <w:sz w:val="20"/>
                <w:szCs w:val="20"/>
              </w:rPr>
              <w:t>MRV guideline and standard</w:t>
            </w:r>
            <w:r w:rsidRPr="006D0AB6">
              <w:rPr>
                <w:noProof/>
                <w:sz w:val="20"/>
                <w:szCs w:val="20"/>
              </w:rPr>
              <w:t xml:space="preserve"> methodologies for the selected subsectors</w:t>
            </w:r>
          </w:p>
          <w:p w14:paraId="40C96A01" w14:textId="77777777" w:rsidR="00544595" w:rsidRDefault="00544595" w:rsidP="001E2241">
            <w:pPr>
              <w:rPr>
                <w:noProof/>
                <w:sz w:val="20"/>
                <w:szCs w:val="20"/>
              </w:rPr>
            </w:pPr>
            <w:r w:rsidRPr="006D0AB6">
              <w:rPr>
                <w:noProof/>
                <w:sz w:val="20"/>
                <w:szCs w:val="20"/>
              </w:rPr>
              <w:t xml:space="preserve"> - </w:t>
            </w:r>
            <w:r w:rsidR="001E2241" w:rsidRPr="00544595">
              <w:rPr>
                <w:b/>
                <w:noProof/>
                <w:sz w:val="20"/>
                <w:szCs w:val="20"/>
              </w:rPr>
              <w:t>Monitoring plan</w:t>
            </w:r>
            <w:r w:rsidR="001E2241" w:rsidRPr="006D0AB6">
              <w:rPr>
                <w:noProof/>
                <w:sz w:val="20"/>
                <w:szCs w:val="20"/>
              </w:rPr>
              <w:t xml:space="preserve"> designed and implemented for the selected NAMAs</w:t>
            </w:r>
          </w:p>
          <w:p w14:paraId="09F48C52" w14:textId="77777777" w:rsidR="00544595" w:rsidRDefault="001E2241" w:rsidP="0026350B">
            <w:pPr>
              <w:rPr>
                <w:noProof/>
                <w:sz w:val="20"/>
                <w:szCs w:val="20"/>
              </w:rPr>
            </w:pPr>
            <w:r w:rsidRPr="006D0AB6">
              <w:rPr>
                <w:noProof/>
                <w:sz w:val="20"/>
                <w:szCs w:val="20"/>
              </w:rPr>
              <w:t xml:space="preserve">- Fully capable and qualified </w:t>
            </w:r>
            <w:r w:rsidRPr="00544595">
              <w:rPr>
                <w:b/>
                <w:noProof/>
                <w:sz w:val="20"/>
                <w:szCs w:val="20"/>
              </w:rPr>
              <w:t>local technical professionals</w:t>
            </w:r>
            <w:r w:rsidRPr="006D0AB6">
              <w:rPr>
                <w:noProof/>
                <w:sz w:val="20"/>
                <w:szCs w:val="20"/>
              </w:rPr>
              <w:t xml:space="preserve"> in the conduct of MRVs</w:t>
            </w:r>
          </w:p>
          <w:p w14:paraId="05B7E51B" w14:textId="77777777" w:rsidR="0027046B" w:rsidRPr="006D0AB6" w:rsidRDefault="00544595" w:rsidP="001E2241">
            <w:pPr>
              <w:rPr>
                <w:noProof/>
                <w:sz w:val="20"/>
                <w:szCs w:val="20"/>
              </w:rPr>
            </w:pPr>
            <w:r>
              <w:rPr>
                <w:noProof/>
                <w:sz w:val="20"/>
                <w:szCs w:val="20"/>
              </w:rPr>
              <w:t xml:space="preserve">- </w:t>
            </w:r>
            <w:r w:rsidR="0026350B" w:rsidRPr="006D0AB6">
              <w:rPr>
                <w:noProof/>
                <w:sz w:val="20"/>
                <w:szCs w:val="20"/>
              </w:rPr>
              <w:t xml:space="preserve">Analyzed, published and disseminated </w:t>
            </w:r>
            <w:r w:rsidR="0026350B" w:rsidRPr="00544595">
              <w:rPr>
                <w:b/>
                <w:noProof/>
                <w:sz w:val="20"/>
                <w:szCs w:val="20"/>
              </w:rPr>
              <w:t>lessons learned</w:t>
            </w:r>
            <w:r w:rsidR="0026350B" w:rsidRPr="006D0AB6">
              <w:rPr>
                <w:noProof/>
                <w:sz w:val="20"/>
                <w:szCs w:val="20"/>
              </w:rPr>
              <w:t xml:space="preserve"> from the implementation of the pilot NAMAs</w:t>
            </w:r>
          </w:p>
        </w:tc>
        <w:tc>
          <w:tcPr>
            <w:tcW w:w="410" w:type="pct"/>
            <w:shd w:val="clear" w:color="auto" w:fill="FFFFFF"/>
          </w:tcPr>
          <w:p w14:paraId="7ADD02F0" w14:textId="77777777" w:rsidR="0027046B" w:rsidRPr="006D0AB6" w:rsidRDefault="006D0AB6">
            <w:pPr>
              <w:rPr>
                <w:sz w:val="20"/>
                <w:szCs w:val="20"/>
              </w:rPr>
            </w:pPr>
            <w:r w:rsidRPr="006D0AB6">
              <w:rPr>
                <w:sz w:val="20"/>
                <w:szCs w:val="20"/>
              </w:rPr>
              <w:t>GEFTF</w:t>
            </w:r>
          </w:p>
        </w:tc>
        <w:tc>
          <w:tcPr>
            <w:tcW w:w="573" w:type="pct"/>
            <w:tcBorders>
              <w:bottom w:val="single" w:sz="4" w:space="0" w:color="auto"/>
            </w:tcBorders>
            <w:shd w:val="clear" w:color="auto" w:fill="FFFFFF"/>
          </w:tcPr>
          <w:p w14:paraId="0BC6B1FE" w14:textId="77777777" w:rsidR="0027046B" w:rsidRPr="006D0AB6" w:rsidRDefault="00544595" w:rsidP="001E2241">
            <w:pPr>
              <w:jc w:val="right"/>
              <w:rPr>
                <w:sz w:val="20"/>
                <w:szCs w:val="20"/>
              </w:rPr>
            </w:pPr>
            <w:bookmarkStart w:id="33" w:name="B_GA_05"/>
            <w:r>
              <w:rPr>
                <w:noProof/>
                <w:sz w:val="20"/>
                <w:szCs w:val="20"/>
              </w:rPr>
              <w:t>5</w:t>
            </w:r>
            <w:r w:rsidR="001E2241" w:rsidRPr="006D0AB6">
              <w:rPr>
                <w:noProof/>
                <w:sz w:val="20"/>
                <w:szCs w:val="20"/>
              </w:rPr>
              <w:t>00,000</w:t>
            </w:r>
            <w:bookmarkEnd w:id="33"/>
          </w:p>
        </w:tc>
        <w:tc>
          <w:tcPr>
            <w:tcW w:w="596" w:type="pct"/>
            <w:tcBorders>
              <w:bottom w:val="single" w:sz="4" w:space="0" w:color="auto"/>
            </w:tcBorders>
            <w:shd w:val="clear" w:color="auto" w:fill="FFFFFF"/>
          </w:tcPr>
          <w:p w14:paraId="60A71A0A" w14:textId="77777777" w:rsidR="0027046B" w:rsidRPr="006D0AB6" w:rsidRDefault="001E2241" w:rsidP="001E2241">
            <w:pPr>
              <w:jc w:val="right"/>
              <w:rPr>
                <w:sz w:val="20"/>
                <w:szCs w:val="20"/>
              </w:rPr>
            </w:pPr>
            <w:bookmarkStart w:id="34" w:name="B_CO_05"/>
            <w:r w:rsidRPr="006D0AB6">
              <w:rPr>
                <w:noProof/>
                <w:sz w:val="20"/>
                <w:szCs w:val="20"/>
              </w:rPr>
              <w:t>1,000,000</w:t>
            </w:r>
            <w:bookmarkEnd w:id="34"/>
          </w:p>
        </w:tc>
      </w:tr>
      <w:tr w:rsidR="002334D6" w:rsidRPr="00077A08" w14:paraId="516D4F5C" w14:textId="77777777" w:rsidTr="006D0AB6">
        <w:trPr>
          <w:jc w:val="center"/>
        </w:trPr>
        <w:tc>
          <w:tcPr>
            <w:tcW w:w="2428" w:type="pct"/>
            <w:gridSpan w:val="3"/>
            <w:tcBorders>
              <w:bottom w:val="single" w:sz="4" w:space="0" w:color="auto"/>
            </w:tcBorders>
            <w:shd w:val="clear" w:color="auto" w:fill="FFFFFF"/>
          </w:tcPr>
          <w:p w14:paraId="39B9BE11" w14:textId="77777777" w:rsidR="0027046B" w:rsidRPr="00077A08" w:rsidRDefault="0027046B" w:rsidP="00AE1978">
            <w:pPr>
              <w:jc w:val="right"/>
              <w:rPr>
                <w:sz w:val="20"/>
                <w:szCs w:val="20"/>
              </w:rPr>
            </w:pPr>
            <w:r w:rsidRPr="00077A08">
              <w:rPr>
                <w:sz w:val="20"/>
                <w:szCs w:val="20"/>
              </w:rPr>
              <w:t>Subtotal</w:t>
            </w:r>
          </w:p>
        </w:tc>
        <w:tc>
          <w:tcPr>
            <w:tcW w:w="993" w:type="pct"/>
            <w:tcBorders>
              <w:bottom w:val="single" w:sz="4" w:space="0" w:color="auto"/>
            </w:tcBorders>
            <w:shd w:val="clear" w:color="auto" w:fill="FFFFFF"/>
          </w:tcPr>
          <w:p w14:paraId="25BD687F" w14:textId="77777777" w:rsidR="0027046B" w:rsidRPr="00077A08" w:rsidRDefault="0027046B" w:rsidP="00AE1978">
            <w:pPr>
              <w:jc w:val="right"/>
              <w:rPr>
                <w:sz w:val="20"/>
                <w:szCs w:val="20"/>
              </w:rPr>
            </w:pPr>
          </w:p>
        </w:tc>
        <w:tc>
          <w:tcPr>
            <w:tcW w:w="410" w:type="pct"/>
            <w:tcBorders>
              <w:bottom w:val="single" w:sz="4" w:space="0" w:color="auto"/>
            </w:tcBorders>
            <w:shd w:val="clear" w:color="auto" w:fill="FFFFFF"/>
          </w:tcPr>
          <w:p w14:paraId="6E5E8D33" w14:textId="77777777" w:rsidR="0027046B" w:rsidRPr="00077A08" w:rsidRDefault="0027046B" w:rsidP="00AE1978">
            <w:pPr>
              <w:jc w:val="right"/>
              <w:rPr>
                <w:sz w:val="20"/>
                <w:szCs w:val="20"/>
              </w:rPr>
            </w:pPr>
          </w:p>
        </w:tc>
        <w:tc>
          <w:tcPr>
            <w:tcW w:w="573" w:type="pct"/>
            <w:tcBorders>
              <w:bottom w:val="single" w:sz="4" w:space="0" w:color="auto"/>
            </w:tcBorders>
            <w:shd w:val="clear" w:color="auto" w:fill="FFFFFF"/>
          </w:tcPr>
          <w:p w14:paraId="3C5BDF27" w14:textId="77777777" w:rsidR="0027046B" w:rsidRPr="00077A08" w:rsidRDefault="00A324D9" w:rsidP="00AE1978">
            <w:pPr>
              <w:jc w:val="right"/>
              <w:rPr>
                <w:sz w:val="20"/>
                <w:szCs w:val="20"/>
              </w:rPr>
            </w:pPr>
            <w:bookmarkStart w:id="35" w:name="SUBTOT_B_GA"/>
            <w:r w:rsidRPr="00077A08">
              <w:rPr>
                <w:noProof/>
                <w:sz w:val="20"/>
                <w:szCs w:val="20"/>
              </w:rPr>
              <w:t>3,400,000</w:t>
            </w:r>
            <w:bookmarkEnd w:id="35"/>
          </w:p>
        </w:tc>
        <w:tc>
          <w:tcPr>
            <w:tcW w:w="596" w:type="pct"/>
            <w:tcBorders>
              <w:bottom w:val="single" w:sz="4" w:space="0" w:color="auto"/>
            </w:tcBorders>
            <w:shd w:val="clear" w:color="auto" w:fill="FFFFFF"/>
          </w:tcPr>
          <w:p w14:paraId="2B8CBE4D" w14:textId="77777777" w:rsidR="0027046B" w:rsidRPr="00077A08" w:rsidRDefault="00F12F08" w:rsidP="00F12F08">
            <w:pPr>
              <w:jc w:val="right"/>
              <w:rPr>
                <w:sz w:val="20"/>
                <w:szCs w:val="20"/>
              </w:rPr>
            </w:pPr>
            <w:bookmarkStart w:id="36" w:name="STPFtotProjCostCOFIN"/>
            <w:r w:rsidRPr="00077A08">
              <w:rPr>
                <w:noProof/>
                <w:sz w:val="20"/>
                <w:szCs w:val="20"/>
              </w:rPr>
              <w:t>33</w:t>
            </w:r>
            <w:r w:rsidR="00A324D9" w:rsidRPr="00077A08">
              <w:rPr>
                <w:noProof/>
                <w:sz w:val="20"/>
                <w:szCs w:val="20"/>
              </w:rPr>
              <w:t>,</w:t>
            </w:r>
            <w:r w:rsidRPr="00077A08">
              <w:rPr>
                <w:noProof/>
                <w:sz w:val="20"/>
                <w:szCs w:val="20"/>
              </w:rPr>
              <w:t>3</w:t>
            </w:r>
            <w:r w:rsidR="00A324D9" w:rsidRPr="00077A08">
              <w:rPr>
                <w:noProof/>
                <w:sz w:val="20"/>
                <w:szCs w:val="20"/>
              </w:rPr>
              <w:t>00,000</w:t>
            </w:r>
            <w:bookmarkEnd w:id="36"/>
          </w:p>
        </w:tc>
      </w:tr>
      <w:tr w:rsidR="002334D6" w:rsidRPr="00077A08" w14:paraId="7534D0EC" w14:textId="77777777" w:rsidTr="006D0AB6">
        <w:trPr>
          <w:jc w:val="center"/>
        </w:trPr>
        <w:tc>
          <w:tcPr>
            <w:tcW w:w="2428" w:type="pct"/>
            <w:gridSpan w:val="3"/>
            <w:tcBorders>
              <w:top w:val="double" w:sz="4" w:space="0" w:color="auto"/>
              <w:left w:val="single" w:sz="4" w:space="0" w:color="auto"/>
              <w:bottom w:val="double" w:sz="4" w:space="0" w:color="auto"/>
            </w:tcBorders>
            <w:shd w:val="clear" w:color="auto" w:fill="FFFFFF"/>
          </w:tcPr>
          <w:p w14:paraId="698A6FE2" w14:textId="77777777" w:rsidR="0027046B" w:rsidRPr="00077A08" w:rsidRDefault="0027046B" w:rsidP="00693747">
            <w:pPr>
              <w:jc w:val="right"/>
              <w:rPr>
                <w:sz w:val="20"/>
                <w:szCs w:val="20"/>
              </w:rPr>
            </w:pPr>
            <w:r w:rsidRPr="00077A08">
              <w:rPr>
                <w:sz w:val="20"/>
                <w:szCs w:val="20"/>
              </w:rPr>
              <w:t>Project Management Cost</w:t>
            </w:r>
            <w:r w:rsidR="00667450" w:rsidRPr="00077A08">
              <w:rPr>
                <w:sz w:val="20"/>
                <w:szCs w:val="20"/>
              </w:rPr>
              <w:t xml:space="preserve"> (PMC)</w:t>
            </w:r>
            <w:r w:rsidR="00693747" w:rsidRPr="00077A08">
              <w:rPr>
                <w:rStyle w:val="FootnoteReference"/>
                <w:sz w:val="20"/>
                <w:szCs w:val="20"/>
              </w:rPr>
              <w:footnoteReference w:id="5"/>
            </w:r>
          </w:p>
        </w:tc>
        <w:tc>
          <w:tcPr>
            <w:tcW w:w="993" w:type="pct"/>
            <w:tcBorders>
              <w:top w:val="double" w:sz="4" w:space="0" w:color="auto"/>
              <w:left w:val="single" w:sz="4" w:space="0" w:color="auto"/>
              <w:bottom w:val="double" w:sz="4" w:space="0" w:color="auto"/>
              <w:right w:val="single" w:sz="4" w:space="0" w:color="auto"/>
            </w:tcBorders>
            <w:shd w:val="clear" w:color="auto" w:fill="FFFFFF"/>
          </w:tcPr>
          <w:p w14:paraId="7EF32DC7" w14:textId="77777777" w:rsidR="0027046B" w:rsidRPr="00077A08" w:rsidRDefault="0027046B" w:rsidP="00C27865">
            <w:pPr>
              <w:rPr>
                <w:sz w:val="20"/>
                <w:szCs w:val="20"/>
              </w:rPr>
            </w:pPr>
          </w:p>
        </w:tc>
        <w:tc>
          <w:tcPr>
            <w:tcW w:w="410" w:type="pct"/>
            <w:tcBorders>
              <w:top w:val="double" w:sz="4" w:space="0" w:color="auto"/>
              <w:left w:val="single" w:sz="4" w:space="0" w:color="auto"/>
              <w:bottom w:val="double" w:sz="4" w:space="0" w:color="auto"/>
            </w:tcBorders>
            <w:shd w:val="clear" w:color="auto" w:fill="FFFFFF"/>
          </w:tcPr>
          <w:p w14:paraId="52303516" w14:textId="77777777" w:rsidR="0027046B" w:rsidRPr="00077A08" w:rsidRDefault="006D0AB6" w:rsidP="00C27865">
            <w:pPr>
              <w:rPr>
                <w:sz w:val="20"/>
                <w:szCs w:val="20"/>
              </w:rPr>
            </w:pPr>
            <w:r w:rsidRPr="00077A08">
              <w:rPr>
                <w:sz w:val="20"/>
                <w:szCs w:val="20"/>
              </w:rPr>
              <w:t>GEFTF</w:t>
            </w:r>
          </w:p>
        </w:tc>
        <w:tc>
          <w:tcPr>
            <w:tcW w:w="573" w:type="pct"/>
            <w:tcBorders>
              <w:top w:val="single" w:sz="4" w:space="0" w:color="auto"/>
              <w:bottom w:val="double" w:sz="4" w:space="0" w:color="auto"/>
              <w:right w:val="single" w:sz="4" w:space="0" w:color="auto"/>
            </w:tcBorders>
            <w:shd w:val="clear" w:color="auto" w:fill="FFFFFF"/>
          </w:tcPr>
          <w:p w14:paraId="1E716855" w14:textId="77777777" w:rsidR="0027046B" w:rsidRPr="00077A08" w:rsidRDefault="001E2241" w:rsidP="001E2241">
            <w:pPr>
              <w:jc w:val="right"/>
              <w:rPr>
                <w:sz w:val="20"/>
                <w:szCs w:val="20"/>
              </w:rPr>
            </w:pPr>
            <w:bookmarkStart w:id="37" w:name="B_ProjMgmt_GA"/>
            <w:r w:rsidRPr="00077A08">
              <w:rPr>
                <w:noProof/>
                <w:sz w:val="20"/>
                <w:szCs w:val="20"/>
              </w:rPr>
              <w:t>170,000</w:t>
            </w:r>
            <w:bookmarkEnd w:id="37"/>
          </w:p>
        </w:tc>
        <w:tc>
          <w:tcPr>
            <w:tcW w:w="596" w:type="pct"/>
            <w:tcBorders>
              <w:top w:val="single" w:sz="4" w:space="0" w:color="auto"/>
              <w:left w:val="single" w:sz="4" w:space="0" w:color="auto"/>
              <w:bottom w:val="double" w:sz="4" w:space="0" w:color="auto"/>
              <w:right w:val="single" w:sz="4" w:space="0" w:color="auto"/>
            </w:tcBorders>
            <w:shd w:val="clear" w:color="auto" w:fill="FFFFFF"/>
          </w:tcPr>
          <w:p w14:paraId="7FBC4876" w14:textId="77777777" w:rsidR="0027046B" w:rsidRPr="00077A08" w:rsidRDefault="00F12F08" w:rsidP="001E2241">
            <w:pPr>
              <w:jc w:val="right"/>
              <w:rPr>
                <w:sz w:val="20"/>
                <w:szCs w:val="20"/>
              </w:rPr>
            </w:pPr>
            <w:bookmarkStart w:id="38" w:name="B_projMgmt_CO"/>
            <w:r w:rsidRPr="00077A08">
              <w:rPr>
                <w:noProof/>
                <w:sz w:val="20"/>
                <w:szCs w:val="20"/>
              </w:rPr>
              <w:t>7</w:t>
            </w:r>
            <w:r w:rsidR="001E2241" w:rsidRPr="00077A08">
              <w:rPr>
                <w:noProof/>
                <w:sz w:val="20"/>
                <w:szCs w:val="20"/>
              </w:rPr>
              <w:t>00,000</w:t>
            </w:r>
            <w:bookmarkEnd w:id="38"/>
          </w:p>
        </w:tc>
      </w:tr>
      <w:tr w:rsidR="002334D6" w:rsidRPr="00077A08" w14:paraId="0376369E" w14:textId="77777777" w:rsidTr="006D0AB6">
        <w:trPr>
          <w:jc w:val="center"/>
        </w:trPr>
        <w:tc>
          <w:tcPr>
            <w:tcW w:w="2428" w:type="pct"/>
            <w:gridSpan w:val="3"/>
            <w:tcBorders>
              <w:top w:val="double" w:sz="4" w:space="0" w:color="auto"/>
              <w:bottom w:val="double" w:sz="4" w:space="0" w:color="auto"/>
            </w:tcBorders>
            <w:shd w:val="clear" w:color="auto" w:fill="FFFFFF"/>
          </w:tcPr>
          <w:p w14:paraId="063FE9E5" w14:textId="77777777" w:rsidR="0027046B" w:rsidRPr="00077A08" w:rsidRDefault="0027046B" w:rsidP="00407952">
            <w:pPr>
              <w:jc w:val="right"/>
              <w:rPr>
                <w:sz w:val="20"/>
                <w:szCs w:val="20"/>
              </w:rPr>
            </w:pPr>
            <w:r w:rsidRPr="00077A08">
              <w:rPr>
                <w:sz w:val="20"/>
                <w:szCs w:val="20"/>
              </w:rPr>
              <w:t>Total Project Cost</w:t>
            </w:r>
          </w:p>
        </w:tc>
        <w:tc>
          <w:tcPr>
            <w:tcW w:w="993" w:type="pct"/>
            <w:tcBorders>
              <w:top w:val="double" w:sz="4" w:space="0" w:color="auto"/>
              <w:bottom w:val="double" w:sz="4" w:space="0" w:color="auto"/>
            </w:tcBorders>
            <w:shd w:val="clear" w:color="auto" w:fill="FFFFFF"/>
          </w:tcPr>
          <w:p w14:paraId="5CFCA8EB" w14:textId="77777777" w:rsidR="0027046B" w:rsidRPr="00077A08" w:rsidRDefault="0027046B" w:rsidP="00407952">
            <w:pPr>
              <w:jc w:val="right"/>
              <w:rPr>
                <w:sz w:val="20"/>
                <w:szCs w:val="20"/>
              </w:rPr>
            </w:pPr>
          </w:p>
        </w:tc>
        <w:tc>
          <w:tcPr>
            <w:tcW w:w="410" w:type="pct"/>
            <w:tcBorders>
              <w:top w:val="double" w:sz="4" w:space="0" w:color="auto"/>
              <w:bottom w:val="double" w:sz="4" w:space="0" w:color="auto"/>
            </w:tcBorders>
            <w:shd w:val="clear" w:color="auto" w:fill="FFFFFF"/>
          </w:tcPr>
          <w:p w14:paraId="63E91816" w14:textId="77777777" w:rsidR="0027046B" w:rsidRPr="00077A08" w:rsidRDefault="0027046B" w:rsidP="00407952">
            <w:pPr>
              <w:jc w:val="right"/>
              <w:rPr>
                <w:sz w:val="20"/>
                <w:szCs w:val="20"/>
              </w:rPr>
            </w:pPr>
          </w:p>
        </w:tc>
        <w:tc>
          <w:tcPr>
            <w:tcW w:w="573" w:type="pct"/>
            <w:tcBorders>
              <w:top w:val="double" w:sz="4" w:space="0" w:color="auto"/>
              <w:bottom w:val="double" w:sz="4" w:space="0" w:color="auto"/>
            </w:tcBorders>
            <w:shd w:val="clear" w:color="auto" w:fill="FFFFFF"/>
          </w:tcPr>
          <w:p w14:paraId="004DE03C" w14:textId="77777777" w:rsidR="0027046B" w:rsidRPr="00077A08" w:rsidRDefault="00A324D9" w:rsidP="00407952">
            <w:pPr>
              <w:jc w:val="right"/>
              <w:rPr>
                <w:sz w:val="20"/>
                <w:szCs w:val="20"/>
              </w:rPr>
            </w:pPr>
            <w:bookmarkStart w:id="39" w:name="PFtotalProjCostGEF"/>
            <w:r w:rsidRPr="00077A08">
              <w:rPr>
                <w:noProof/>
                <w:sz w:val="20"/>
                <w:szCs w:val="20"/>
              </w:rPr>
              <w:t>3,570,000</w:t>
            </w:r>
            <w:bookmarkEnd w:id="39"/>
          </w:p>
        </w:tc>
        <w:tc>
          <w:tcPr>
            <w:tcW w:w="596" w:type="pct"/>
            <w:tcBorders>
              <w:top w:val="double" w:sz="4" w:space="0" w:color="auto"/>
              <w:bottom w:val="double" w:sz="4" w:space="0" w:color="auto"/>
            </w:tcBorders>
            <w:shd w:val="clear" w:color="auto" w:fill="FFFFFF"/>
          </w:tcPr>
          <w:p w14:paraId="46A001EA" w14:textId="77777777" w:rsidR="0027046B" w:rsidRPr="00077A08" w:rsidRDefault="000301E4" w:rsidP="00F12F08">
            <w:pPr>
              <w:jc w:val="right"/>
              <w:rPr>
                <w:sz w:val="20"/>
                <w:szCs w:val="20"/>
              </w:rPr>
            </w:pPr>
            <w:bookmarkStart w:id="40" w:name="PFtotalProjCostCOFIN"/>
            <w:r w:rsidRPr="00077A08">
              <w:rPr>
                <w:noProof/>
                <w:sz w:val="20"/>
                <w:szCs w:val="20"/>
              </w:rPr>
              <w:t>3</w:t>
            </w:r>
            <w:r w:rsidR="00F12F08" w:rsidRPr="00077A08">
              <w:rPr>
                <w:noProof/>
                <w:sz w:val="20"/>
                <w:szCs w:val="20"/>
              </w:rPr>
              <w:t>4</w:t>
            </w:r>
            <w:r w:rsidR="00A324D9" w:rsidRPr="00077A08">
              <w:rPr>
                <w:noProof/>
                <w:sz w:val="20"/>
                <w:szCs w:val="20"/>
              </w:rPr>
              <w:t>,</w:t>
            </w:r>
            <w:r w:rsidR="00F12F08" w:rsidRPr="00077A08">
              <w:rPr>
                <w:noProof/>
                <w:sz w:val="20"/>
                <w:szCs w:val="20"/>
              </w:rPr>
              <w:t>0</w:t>
            </w:r>
            <w:r w:rsidR="00A324D9" w:rsidRPr="00077A08">
              <w:rPr>
                <w:noProof/>
                <w:sz w:val="20"/>
                <w:szCs w:val="20"/>
              </w:rPr>
              <w:t>00,000</w:t>
            </w:r>
            <w:bookmarkEnd w:id="40"/>
          </w:p>
        </w:tc>
      </w:tr>
    </w:tbl>
    <w:p w14:paraId="691A0DA2" w14:textId="77777777" w:rsidR="0019510D" w:rsidRPr="00077A08" w:rsidRDefault="0019510D" w:rsidP="0019510D">
      <w:pPr>
        <w:ind w:right="-547"/>
        <w:rPr>
          <w:b/>
          <w:sz w:val="20"/>
          <w:szCs w:val="20"/>
        </w:rPr>
      </w:pPr>
    </w:p>
    <w:p w14:paraId="2789EF92" w14:textId="77777777" w:rsidR="0027046B" w:rsidRPr="00077A08" w:rsidRDefault="0027046B" w:rsidP="0019510D">
      <w:pPr>
        <w:ind w:right="-547"/>
        <w:rPr>
          <w:b/>
          <w:sz w:val="20"/>
          <w:szCs w:val="20"/>
        </w:rPr>
      </w:pPr>
    </w:p>
    <w:p w14:paraId="71B88735" w14:textId="77777777" w:rsidR="00276471" w:rsidRPr="00077A08" w:rsidRDefault="00407952" w:rsidP="00501697">
      <w:pPr>
        <w:pStyle w:val="Footer"/>
        <w:numPr>
          <w:ilvl w:val="0"/>
          <w:numId w:val="23"/>
        </w:numPr>
        <w:tabs>
          <w:tab w:val="clear" w:pos="4320"/>
          <w:tab w:val="clear" w:pos="8640"/>
        </w:tabs>
        <w:spacing w:before="240" w:after="80"/>
        <w:ind w:hanging="1440"/>
        <w:rPr>
          <w:b/>
          <w:smallCaps/>
        </w:rPr>
      </w:pPr>
      <w:r w:rsidRPr="00077A08">
        <w:rPr>
          <w:b/>
          <w:smallCaps/>
        </w:rPr>
        <w:t>Indicative Co-financing for the project by source and by name if available, ($)</w:t>
      </w:r>
    </w:p>
    <w:tbl>
      <w:tblPr>
        <w:tblW w:w="53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3099"/>
        <w:gridCol w:w="2213"/>
        <w:gridCol w:w="1343"/>
      </w:tblGrid>
      <w:tr w:rsidR="00407952" w:rsidRPr="00077A08" w14:paraId="151597D7" w14:textId="77777777" w:rsidTr="00C27865">
        <w:trPr>
          <w:cantSplit/>
        </w:trPr>
        <w:tc>
          <w:tcPr>
            <w:tcW w:w="1734" w:type="pct"/>
            <w:vAlign w:val="center"/>
          </w:tcPr>
          <w:p w14:paraId="4F27EDEB" w14:textId="77777777" w:rsidR="00407952" w:rsidRPr="00077A08" w:rsidRDefault="005B6ABF" w:rsidP="00084D5A">
            <w:pPr>
              <w:jc w:val="center"/>
              <w:rPr>
                <w:b/>
                <w:sz w:val="22"/>
                <w:szCs w:val="22"/>
              </w:rPr>
            </w:pPr>
            <w:r w:rsidRPr="00077A08">
              <w:rPr>
                <w:b/>
                <w:sz w:val="22"/>
                <w:szCs w:val="22"/>
              </w:rPr>
              <w:t xml:space="preserve">Sources of </w:t>
            </w:r>
            <w:proofErr w:type="spellStart"/>
            <w:r w:rsidRPr="00077A08">
              <w:rPr>
                <w:b/>
                <w:sz w:val="22"/>
                <w:szCs w:val="22"/>
              </w:rPr>
              <w:t>Co</w:t>
            </w:r>
            <w:r w:rsidR="00407952" w:rsidRPr="00077A08">
              <w:rPr>
                <w:b/>
                <w:sz w:val="22"/>
                <w:szCs w:val="22"/>
              </w:rPr>
              <w:t>financing</w:t>
            </w:r>
            <w:proofErr w:type="spellEnd"/>
            <w:r w:rsidR="00AE49B5" w:rsidRPr="00077A08">
              <w:rPr>
                <w:b/>
                <w:sz w:val="22"/>
                <w:szCs w:val="22"/>
              </w:rPr>
              <w:t xml:space="preserve"> </w:t>
            </w:r>
          </w:p>
        </w:tc>
        <w:tc>
          <w:tcPr>
            <w:tcW w:w="1521" w:type="pct"/>
            <w:vAlign w:val="center"/>
          </w:tcPr>
          <w:p w14:paraId="49DF3F57" w14:textId="77777777" w:rsidR="00407952" w:rsidRPr="00077A08" w:rsidRDefault="00407952" w:rsidP="005D5071">
            <w:pPr>
              <w:jc w:val="center"/>
              <w:rPr>
                <w:b/>
                <w:sz w:val="22"/>
                <w:szCs w:val="22"/>
              </w:rPr>
            </w:pPr>
            <w:r w:rsidRPr="00077A08">
              <w:rPr>
                <w:b/>
                <w:sz w:val="22"/>
                <w:szCs w:val="22"/>
              </w:rPr>
              <w:t>Na</w:t>
            </w:r>
            <w:r w:rsidR="005B6ABF" w:rsidRPr="00077A08">
              <w:rPr>
                <w:b/>
                <w:sz w:val="22"/>
                <w:szCs w:val="22"/>
              </w:rPr>
              <w:t xml:space="preserve">me of </w:t>
            </w:r>
            <w:proofErr w:type="spellStart"/>
            <w:r w:rsidR="005B6ABF" w:rsidRPr="00077A08">
              <w:rPr>
                <w:b/>
                <w:sz w:val="22"/>
                <w:szCs w:val="22"/>
              </w:rPr>
              <w:t>Co</w:t>
            </w:r>
            <w:r w:rsidRPr="00077A08">
              <w:rPr>
                <w:b/>
                <w:sz w:val="22"/>
                <w:szCs w:val="22"/>
              </w:rPr>
              <w:t>financier</w:t>
            </w:r>
            <w:proofErr w:type="spellEnd"/>
          </w:p>
        </w:tc>
        <w:tc>
          <w:tcPr>
            <w:tcW w:w="1086" w:type="pct"/>
            <w:shd w:val="clear" w:color="auto" w:fill="auto"/>
            <w:vAlign w:val="center"/>
          </w:tcPr>
          <w:p w14:paraId="148DC6D2" w14:textId="77777777" w:rsidR="00407952" w:rsidRPr="00077A08" w:rsidRDefault="005B6ABF" w:rsidP="005D5071">
            <w:pPr>
              <w:ind w:left="5"/>
              <w:jc w:val="center"/>
              <w:rPr>
                <w:b/>
                <w:sz w:val="22"/>
                <w:szCs w:val="22"/>
              </w:rPr>
            </w:pPr>
            <w:r w:rsidRPr="00077A08">
              <w:rPr>
                <w:b/>
                <w:sz w:val="22"/>
                <w:szCs w:val="22"/>
              </w:rPr>
              <w:t xml:space="preserve">Type of </w:t>
            </w:r>
            <w:proofErr w:type="spellStart"/>
            <w:r w:rsidRPr="00077A08">
              <w:rPr>
                <w:b/>
                <w:sz w:val="22"/>
                <w:szCs w:val="22"/>
              </w:rPr>
              <w:t>Co</w:t>
            </w:r>
            <w:r w:rsidR="00407952" w:rsidRPr="00077A08">
              <w:rPr>
                <w:b/>
                <w:sz w:val="22"/>
                <w:szCs w:val="22"/>
              </w:rPr>
              <w:t>financing</w:t>
            </w:r>
            <w:proofErr w:type="spellEnd"/>
          </w:p>
        </w:tc>
        <w:tc>
          <w:tcPr>
            <w:tcW w:w="659" w:type="pct"/>
            <w:vAlign w:val="center"/>
          </w:tcPr>
          <w:p w14:paraId="1E113471" w14:textId="77777777" w:rsidR="00407952" w:rsidRPr="00077A08" w:rsidRDefault="00AE49B5" w:rsidP="005D5071">
            <w:pPr>
              <w:ind w:left="-6"/>
              <w:jc w:val="center"/>
              <w:rPr>
                <w:b/>
                <w:sz w:val="22"/>
                <w:szCs w:val="22"/>
              </w:rPr>
            </w:pPr>
            <w:r w:rsidRPr="00077A08">
              <w:rPr>
                <w:b/>
                <w:sz w:val="22"/>
                <w:szCs w:val="22"/>
              </w:rPr>
              <w:t>Amount ($</w:t>
            </w:r>
            <w:r w:rsidR="0044454E" w:rsidRPr="00077A08">
              <w:rPr>
                <w:b/>
                <w:sz w:val="22"/>
                <w:szCs w:val="22"/>
              </w:rPr>
              <w:t>)</w:t>
            </w:r>
          </w:p>
        </w:tc>
      </w:tr>
      <w:tr w:rsidR="00C91A54" w:rsidRPr="00077A08" w14:paraId="3C1D0360" w14:textId="77777777" w:rsidTr="00C27865">
        <w:trPr>
          <w:cantSplit/>
        </w:trPr>
        <w:tc>
          <w:tcPr>
            <w:tcW w:w="1734" w:type="pct"/>
          </w:tcPr>
          <w:p w14:paraId="786EBCD6" w14:textId="77777777" w:rsidR="00C91A54" w:rsidRPr="00077A08" w:rsidRDefault="006D0AB6">
            <w:pPr>
              <w:rPr>
                <w:sz w:val="20"/>
                <w:szCs w:val="20"/>
              </w:rPr>
            </w:pPr>
            <w:r w:rsidRPr="00077A08">
              <w:rPr>
                <w:sz w:val="20"/>
                <w:szCs w:val="20"/>
              </w:rPr>
              <w:t>National Government</w:t>
            </w:r>
          </w:p>
        </w:tc>
        <w:tc>
          <w:tcPr>
            <w:tcW w:w="1521" w:type="pct"/>
          </w:tcPr>
          <w:p w14:paraId="4B4F649D" w14:textId="77777777" w:rsidR="00C91A54" w:rsidRPr="00077A08" w:rsidRDefault="001E2241" w:rsidP="001E2241">
            <w:pPr>
              <w:rPr>
                <w:sz w:val="20"/>
                <w:szCs w:val="20"/>
              </w:rPr>
            </w:pPr>
            <w:bookmarkStart w:id="41" w:name="CofinanciarName_01"/>
            <w:r w:rsidRPr="00077A08">
              <w:rPr>
                <w:noProof/>
                <w:sz w:val="20"/>
                <w:szCs w:val="20"/>
              </w:rPr>
              <w:t>MENR</w:t>
            </w:r>
            <w:bookmarkEnd w:id="41"/>
          </w:p>
        </w:tc>
        <w:tc>
          <w:tcPr>
            <w:tcW w:w="1086" w:type="pct"/>
            <w:shd w:val="clear" w:color="auto" w:fill="auto"/>
          </w:tcPr>
          <w:p w14:paraId="3FD3B314" w14:textId="77777777" w:rsidR="00C91A54" w:rsidRPr="00077A08" w:rsidRDefault="006D0AB6" w:rsidP="00407952">
            <w:pPr>
              <w:ind w:left="5"/>
              <w:rPr>
                <w:sz w:val="20"/>
                <w:szCs w:val="20"/>
              </w:rPr>
            </w:pPr>
            <w:r w:rsidRPr="00077A08">
              <w:rPr>
                <w:sz w:val="20"/>
                <w:szCs w:val="20"/>
              </w:rPr>
              <w:t>In-kind</w:t>
            </w:r>
          </w:p>
        </w:tc>
        <w:tc>
          <w:tcPr>
            <w:tcW w:w="659" w:type="pct"/>
          </w:tcPr>
          <w:p w14:paraId="3789CA27" w14:textId="77777777" w:rsidR="00C91A54" w:rsidRPr="00077A08" w:rsidRDefault="001E2241" w:rsidP="001E2241">
            <w:pPr>
              <w:ind w:left="-6"/>
              <w:jc w:val="right"/>
              <w:rPr>
                <w:sz w:val="20"/>
                <w:szCs w:val="20"/>
              </w:rPr>
            </w:pPr>
            <w:bookmarkStart w:id="42" w:name="C_COAMT_01"/>
            <w:r w:rsidRPr="00077A08">
              <w:rPr>
                <w:noProof/>
                <w:sz w:val="20"/>
                <w:szCs w:val="20"/>
              </w:rPr>
              <w:t>800,000</w:t>
            </w:r>
            <w:bookmarkEnd w:id="42"/>
          </w:p>
        </w:tc>
      </w:tr>
      <w:tr w:rsidR="00C91A54" w:rsidRPr="00077A08" w14:paraId="31A6EDB4" w14:textId="77777777" w:rsidTr="00C27865">
        <w:trPr>
          <w:cantSplit/>
        </w:trPr>
        <w:tc>
          <w:tcPr>
            <w:tcW w:w="1734" w:type="pct"/>
          </w:tcPr>
          <w:p w14:paraId="40173F1C" w14:textId="77777777" w:rsidR="00C91A54" w:rsidRPr="00077A08" w:rsidRDefault="006D0AB6">
            <w:pPr>
              <w:rPr>
                <w:sz w:val="20"/>
                <w:szCs w:val="20"/>
              </w:rPr>
            </w:pPr>
            <w:r w:rsidRPr="00077A08">
              <w:rPr>
                <w:sz w:val="20"/>
                <w:szCs w:val="20"/>
              </w:rPr>
              <w:t>Private Sector</w:t>
            </w:r>
          </w:p>
        </w:tc>
        <w:tc>
          <w:tcPr>
            <w:tcW w:w="1521" w:type="pct"/>
          </w:tcPr>
          <w:p w14:paraId="56DCE8B7" w14:textId="77777777" w:rsidR="00C91A54" w:rsidRPr="00077A08" w:rsidRDefault="001E2241" w:rsidP="001E2241">
            <w:pPr>
              <w:rPr>
                <w:sz w:val="20"/>
                <w:szCs w:val="20"/>
              </w:rPr>
            </w:pPr>
            <w:bookmarkStart w:id="43" w:name="CofinanciarName_02"/>
            <w:r w:rsidRPr="00077A08">
              <w:rPr>
                <w:noProof/>
                <w:sz w:val="20"/>
                <w:szCs w:val="20"/>
              </w:rPr>
              <w:t>SOCAR</w:t>
            </w:r>
            <w:bookmarkEnd w:id="43"/>
          </w:p>
        </w:tc>
        <w:tc>
          <w:tcPr>
            <w:tcW w:w="1086" w:type="pct"/>
            <w:shd w:val="clear" w:color="auto" w:fill="auto"/>
          </w:tcPr>
          <w:p w14:paraId="73D8A29F" w14:textId="77777777" w:rsidR="00C91A54" w:rsidRPr="00077A08" w:rsidRDefault="006D0AB6" w:rsidP="00407952">
            <w:pPr>
              <w:ind w:left="5"/>
              <w:rPr>
                <w:sz w:val="20"/>
                <w:szCs w:val="20"/>
              </w:rPr>
            </w:pPr>
            <w:r w:rsidRPr="00077A08">
              <w:rPr>
                <w:sz w:val="20"/>
                <w:szCs w:val="20"/>
              </w:rPr>
              <w:t>In-kind</w:t>
            </w:r>
          </w:p>
        </w:tc>
        <w:tc>
          <w:tcPr>
            <w:tcW w:w="659" w:type="pct"/>
          </w:tcPr>
          <w:p w14:paraId="58E3AE6A" w14:textId="77777777" w:rsidR="00C91A54" w:rsidRPr="00077A08" w:rsidRDefault="001E2241" w:rsidP="001E2241">
            <w:pPr>
              <w:ind w:left="-6"/>
              <w:jc w:val="right"/>
              <w:rPr>
                <w:sz w:val="20"/>
                <w:szCs w:val="20"/>
              </w:rPr>
            </w:pPr>
            <w:bookmarkStart w:id="44" w:name="C_COAMT_02"/>
            <w:r w:rsidRPr="00077A08">
              <w:rPr>
                <w:noProof/>
                <w:sz w:val="20"/>
                <w:szCs w:val="20"/>
              </w:rPr>
              <w:t>900,000</w:t>
            </w:r>
            <w:bookmarkEnd w:id="44"/>
          </w:p>
        </w:tc>
      </w:tr>
      <w:tr w:rsidR="00C91A54" w:rsidRPr="00077A08" w14:paraId="25E6C2F7" w14:textId="77777777" w:rsidTr="00C27865">
        <w:trPr>
          <w:cantSplit/>
        </w:trPr>
        <w:tc>
          <w:tcPr>
            <w:tcW w:w="1734" w:type="pct"/>
          </w:tcPr>
          <w:p w14:paraId="6BF9DA05" w14:textId="77777777" w:rsidR="00C91A54" w:rsidRPr="00077A08" w:rsidRDefault="006D0AB6">
            <w:pPr>
              <w:rPr>
                <w:sz w:val="20"/>
                <w:szCs w:val="20"/>
              </w:rPr>
            </w:pPr>
            <w:r w:rsidRPr="00077A08">
              <w:rPr>
                <w:sz w:val="20"/>
                <w:szCs w:val="20"/>
              </w:rPr>
              <w:t>Private Sector</w:t>
            </w:r>
          </w:p>
        </w:tc>
        <w:tc>
          <w:tcPr>
            <w:tcW w:w="1521" w:type="pct"/>
          </w:tcPr>
          <w:p w14:paraId="6B2DE488" w14:textId="77777777" w:rsidR="00C91A54" w:rsidRPr="00077A08" w:rsidRDefault="001E2241" w:rsidP="001E2241">
            <w:pPr>
              <w:rPr>
                <w:sz w:val="20"/>
                <w:szCs w:val="20"/>
              </w:rPr>
            </w:pPr>
            <w:bookmarkStart w:id="45" w:name="CofinanciarName_03"/>
            <w:r w:rsidRPr="00077A08">
              <w:rPr>
                <w:noProof/>
                <w:sz w:val="20"/>
                <w:szCs w:val="20"/>
              </w:rPr>
              <w:t>SOCAR</w:t>
            </w:r>
            <w:bookmarkEnd w:id="45"/>
          </w:p>
        </w:tc>
        <w:tc>
          <w:tcPr>
            <w:tcW w:w="1086" w:type="pct"/>
            <w:shd w:val="clear" w:color="auto" w:fill="auto"/>
          </w:tcPr>
          <w:p w14:paraId="5AA512D7" w14:textId="3A18CDD1" w:rsidR="00C91A54" w:rsidRPr="00077A08" w:rsidRDefault="00DD3F6D" w:rsidP="00407952">
            <w:pPr>
              <w:ind w:left="5"/>
              <w:rPr>
                <w:sz w:val="20"/>
                <w:szCs w:val="20"/>
              </w:rPr>
            </w:pPr>
            <w:r w:rsidRPr="00DD3F6D">
              <w:rPr>
                <w:sz w:val="20"/>
                <w:szCs w:val="20"/>
                <w:highlight w:val="yellow"/>
              </w:rPr>
              <w:t>Cash</w:t>
            </w:r>
          </w:p>
        </w:tc>
        <w:tc>
          <w:tcPr>
            <w:tcW w:w="659" w:type="pct"/>
          </w:tcPr>
          <w:p w14:paraId="09D0AF6E" w14:textId="77777777" w:rsidR="00C91A54" w:rsidRPr="00077A08" w:rsidRDefault="00F12F08" w:rsidP="00F12F08">
            <w:pPr>
              <w:ind w:left="-6"/>
              <w:jc w:val="right"/>
              <w:rPr>
                <w:sz w:val="20"/>
                <w:szCs w:val="20"/>
              </w:rPr>
            </w:pPr>
            <w:bookmarkStart w:id="46" w:name="C_COAMT_03"/>
            <w:r w:rsidRPr="00077A08">
              <w:rPr>
                <w:noProof/>
                <w:sz w:val="20"/>
                <w:szCs w:val="20"/>
              </w:rPr>
              <w:t>30</w:t>
            </w:r>
            <w:r w:rsidR="001E2241" w:rsidRPr="00077A08">
              <w:rPr>
                <w:noProof/>
                <w:sz w:val="20"/>
                <w:szCs w:val="20"/>
              </w:rPr>
              <w:t>,</w:t>
            </w:r>
            <w:r w:rsidRPr="00077A08">
              <w:rPr>
                <w:noProof/>
                <w:sz w:val="20"/>
                <w:szCs w:val="20"/>
              </w:rPr>
              <w:t>0</w:t>
            </w:r>
            <w:r w:rsidR="001E2241" w:rsidRPr="00077A08">
              <w:rPr>
                <w:noProof/>
                <w:sz w:val="20"/>
                <w:szCs w:val="20"/>
              </w:rPr>
              <w:t>00,000</w:t>
            </w:r>
            <w:bookmarkEnd w:id="46"/>
          </w:p>
        </w:tc>
      </w:tr>
      <w:tr w:rsidR="00C91A54" w:rsidRPr="00077A08" w14:paraId="7DB40B2F" w14:textId="77777777" w:rsidTr="00C27865">
        <w:trPr>
          <w:cantSplit/>
        </w:trPr>
        <w:tc>
          <w:tcPr>
            <w:tcW w:w="1734" w:type="pct"/>
          </w:tcPr>
          <w:p w14:paraId="20D23375" w14:textId="77777777" w:rsidR="00C91A54" w:rsidRPr="00077A08" w:rsidRDefault="006D0AB6">
            <w:pPr>
              <w:rPr>
                <w:sz w:val="20"/>
                <w:szCs w:val="20"/>
              </w:rPr>
            </w:pPr>
            <w:r w:rsidRPr="00077A08">
              <w:rPr>
                <w:sz w:val="20"/>
                <w:szCs w:val="20"/>
              </w:rPr>
              <w:t>GEF Agency</w:t>
            </w:r>
          </w:p>
        </w:tc>
        <w:tc>
          <w:tcPr>
            <w:tcW w:w="1521" w:type="pct"/>
          </w:tcPr>
          <w:p w14:paraId="3B0CCC0C" w14:textId="77777777" w:rsidR="00C91A54" w:rsidRPr="00077A08" w:rsidRDefault="001E2241" w:rsidP="001E2241">
            <w:pPr>
              <w:rPr>
                <w:sz w:val="20"/>
                <w:szCs w:val="20"/>
              </w:rPr>
            </w:pPr>
            <w:bookmarkStart w:id="47" w:name="CofinanciarName_04"/>
            <w:r w:rsidRPr="00077A08">
              <w:rPr>
                <w:noProof/>
                <w:sz w:val="20"/>
                <w:szCs w:val="20"/>
              </w:rPr>
              <w:t>UNDP</w:t>
            </w:r>
            <w:bookmarkEnd w:id="47"/>
          </w:p>
        </w:tc>
        <w:tc>
          <w:tcPr>
            <w:tcW w:w="1086" w:type="pct"/>
            <w:shd w:val="clear" w:color="auto" w:fill="auto"/>
          </w:tcPr>
          <w:p w14:paraId="74FCB934" w14:textId="77777777" w:rsidR="00C91A54" w:rsidRPr="00077A08" w:rsidRDefault="006D0AB6" w:rsidP="00407952">
            <w:pPr>
              <w:ind w:left="5"/>
              <w:rPr>
                <w:sz w:val="20"/>
                <w:szCs w:val="20"/>
              </w:rPr>
            </w:pPr>
            <w:r w:rsidRPr="00077A08">
              <w:rPr>
                <w:sz w:val="20"/>
                <w:szCs w:val="20"/>
              </w:rPr>
              <w:t>Grant</w:t>
            </w:r>
          </w:p>
        </w:tc>
        <w:tc>
          <w:tcPr>
            <w:tcW w:w="659" w:type="pct"/>
          </w:tcPr>
          <w:p w14:paraId="1E59FFB8" w14:textId="77777777" w:rsidR="00C91A54" w:rsidRPr="00077A08" w:rsidRDefault="00F12F08" w:rsidP="001E2241">
            <w:pPr>
              <w:ind w:left="-6"/>
              <w:jc w:val="right"/>
              <w:rPr>
                <w:sz w:val="20"/>
                <w:szCs w:val="20"/>
              </w:rPr>
            </w:pPr>
            <w:bookmarkStart w:id="48" w:name="C_COAMT_04"/>
            <w:r w:rsidRPr="00077A08">
              <w:rPr>
                <w:noProof/>
                <w:sz w:val="20"/>
                <w:szCs w:val="20"/>
              </w:rPr>
              <w:t>2</w:t>
            </w:r>
            <w:r w:rsidR="001E2241" w:rsidRPr="00077A08">
              <w:rPr>
                <w:noProof/>
                <w:sz w:val="20"/>
                <w:szCs w:val="20"/>
              </w:rPr>
              <w:t>00,000</w:t>
            </w:r>
            <w:bookmarkEnd w:id="48"/>
          </w:p>
        </w:tc>
      </w:tr>
      <w:tr w:rsidR="00344CA2" w:rsidRPr="00077A08" w14:paraId="0D6C59EE" w14:textId="77777777" w:rsidTr="00C27865">
        <w:trPr>
          <w:cantSplit/>
        </w:trPr>
        <w:tc>
          <w:tcPr>
            <w:tcW w:w="1734" w:type="pct"/>
          </w:tcPr>
          <w:p w14:paraId="7F1E0601" w14:textId="77777777" w:rsidR="00344CA2" w:rsidRPr="00077A08" w:rsidRDefault="006D0AB6" w:rsidP="00336A88">
            <w:pPr>
              <w:rPr>
                <w:sz w:val="20"/>
                <w:szCs w:val="20"/>
              </w:rPr>
            </w:pPr>
            <w:r w:rsidRPr="00077A08">
              <w:rPr>
                <w:sz w:val="20"/>
                <w:szCs w:val="20"/>
              </w:rPr>
              <w:t>Other Multilateral Agency (</w:t>
            </w:r>
            <w:proofErr w:type="spellStart"/>
            <w:r w:rsidRPr="00077A08">
              <w:rPr>
                <w:sz w:val="20"/>
                <w:szCs w:val="20"/>
              </w:rPr>
              <w:t>ies</w:t>
            </w:r>
            <w:proofErr w:type="spellEnd"/>
            <w:r w:rsidRPr="00077A08">
              <w:rPr>
                <w:sz w:val="20"/>
                <w:szCs w:val="20"/>
              </w:rPr>
              <w:t>)</w:t>
            </w:r>
          </w:p>
        </w:tc>
        <w:tc>
          <w:tcPr>
            <w:tcW w:w="1521" w:type="pct"/>
          </w:tcPr>
          <w:p w14:paraId="3DD93EFD" w14:textId="77777777" w:rsidR="00344CA2" w:rsidRPr="00077A08" w:rsidRDefault="001E2241" w:rsidP="001E2241">
            <w:pPr>
              <w:rPr>
                <w:sz w:val="20"/>
                <w:szCs w:val="20"/>
              </w:rPr>
            </w:pPr>
            <w:bookmarkStart w:id="49" w:name="CofinanciarName_05"/>
            <w:r w:rsidRPr="00077A08">
              <w:rPr>
                <w:noProof/>
                <w:sz w:val="20"/>
                <w:szCs w:val="20"/>
              </w:rPr>
              <w:t>EU</w:t>
            </w:r>
            <w:bookmarkEnd w:id="49"/>
          </w:p>
        </w:tc>
        <w:tc>
          <w:tcPr>
            <w:tcW w:w="1086" w:type="pct"/>
            <w:shd w:val="clear" w:color="auto" w:fill="auto"/>
          </w:tcPr>
          <w:p w14:paraId="525235AB" w14:textId="77777777" w:rsidR="00344CA2" w:rsidRPr="00077A08" w:rsidRDefault="006D0AB6" w:rsidP="00336A88">
            <w:pPr>
              <w:ind w:left="5"/>
              <w:rPr>
                <w:sz w:val="20"/>
                <w:szCs w:val="20"/>
              </w:rPr>
            </w:pPr>
            <w:r w:rsidRPr="00077A08">
              <w:rPr>
                <w:sz w:val="20"/>
                <w:szCs w:val="20"/>
              </w:rPr>
              <w:t>Grant</w:t>
            </w:r>
          </w:p>
        </w:tc>
        <w:tc>
          <w:tcPr>
            <w:tcW w:w="659" w:type="pct"/>
          </w:tcPr>
          <w:p w14:paraId="36E1BF15" w14:textId="77777777" w:rsidR="00344CA2" w:rsidRPr="00077A08" w:rsidRDefault="001E2241" w:rsidP="001E2241">
            <w:pPr>
              <w:ind w:left="-6"/>
              <w:jc w:val="right"/>
              <w:rPr>
                <w:sz w:val="20"/>
                <w:szCs w:val="20"/>
              </w:rPr>
            </w:pPr>
            <w:bookmarkStart w:id="50" w:name="C_COAMT_05"/>
            <w:r w:rsidRPr="00077A08">
              <w:rPr>
                <w:noProof/>
                <w:sz w:val="20"/>
                <w:szCs w:val="20"/>
              </w:rPr>
              <w:t>2,000,000</w:t>
            </w:r>
            <w:bookmarkEnd w:id="50"/>
          </w:p>
        </w:tc>
      </w:tr>
      <w:tr w:rsidR="00344CA2" w:rsidRPr="00077A08" w14:paraId="0B0972C5" w14:textId="77777777" w:rsidTr="00C27865">
        <w:trPr>
          <w:cantSplit/>
        </w:trPr>
        <w:tc>
          <w:tcPr>
            <w:tcW w:w="1734" w:type="pct"/>
          </w:tcPr>
          <w:p w14:paraId="10C2B603" w14:textId="77777777" w:rsidR="00344CA2" w:rsidRPr="00077A08" w:rsidRDefault="006D0AB6" w:rsidP="00336A88">
            <w:pPr>
              <w:rPr>
                <w:sz w:val="20"/>
                <w:szCs w:val="20"/>
              </w:rPr>
            </w:pPr>
            <w:r w:rsidRPr="00077A08">
              <w:rPr>
                <w:sz w:val="20"/>
                <w:szCs w:val="20"/>
              </w:rPr>
              <w:t>CSO</w:t>
            </w:r>
          </w:p>
        </w:tc>
        <w:tc>
          <w:tcPr>
            <w:tcW w:w="1521" w:type="pct"/>
          </w:tcPr>
          <w:p w14:paraId="18CD4D8F" w14:textId="77777777" w:rsidR="00344CA2" w:rsidRPr="00077A08" w:rsidRDefault="001E2241" w:rsidP="001E2241">
            <w:pPr>
              <w:rPr>
                <w:sz w:val="20"/>
                <w:szCs w:val="20"/>
              </w:rPr>
            </w:pPr>
            <w:bookmarkStart w:id="51" w:name="CofinanciarName_06"/>
            <w:r w:rsidRPr="00077A08">
              <w:rPr>
                <w:noProof/>
                <w:sz w:val="20"/>
                <w:szCs w:val="20"/>
              </w:rPr>
              <w:t>National Climate Change Center</w:t>
            </w:r>
            <w:bookmarkEnd w:id="51"/>
          </w:p>
        </w:tc>
        <w:tc>
          <w:tcPr>
            <w:tcW w:w="1086" w:type="pct"/>
            <w:shd w:val="clear" w:color="auto" w:fill="auto"/>
          </w:tcPr>
          <w:p w14:paraId="172530D5" w14:textId="77777777" w:rsidR="00344CA2" w:rsidRPr="00077A08" w:rsidRDefault="006D0AB6" w:rsidP="00336A88">
            <w:pPr>
              <w:ind w:left="5"/>
              <w:rPr>
                <w:sz w:val="20"/>
                <w:szCs w:val="20"/>
              </w:rPr>
            </w:pPr>
            <w:r w:rsidRPr="00077A08">
              <w:rPr>
                <w:sz w:val="20"/>
                <w:szCs w:val="20"/>
              </w:rPr>
              <w:t>In-kind</w:t>
            </w:r>
          </w:p>
        </w:tc>
        <w:tc>
          <w:tcPr>
            <w:tcW w:w="659" w:type="pct"/>
          </w:tcPr>
          <w:p w14:paraId="08CF129B" w14:textId="77777777" w:rsidR="00344CA2" w:rsidRPr="00077A08" w:rsidRDefault="00E0515D" w:rsidP="001E2241">
            <w:pPr>
              <w:ind w:left="-6"/>
              <w:jc w:val="right"/>
              <w:rPr>
                <w:sz w:val="20"/>
                <w:szCs w:val="20"/>
              </w:rPr>
            </w:pPr>
            <w:bookmarkStart w:id="52" w:name="C_COAMT_06"/>
            <w:r w:rsidRPr="00077A08">
              <w:rPr>
                <w:noProof/>
                <w:sz w:val="20"/>
                <w:szCs w:val="20"/>
              </w:rPr>
              <w:t>100,000</w:t>
            </w:r>
            <w:bookmarkEnd w:id="52"/>
          </w:p>
        </w:tc>
      </w:tr>
      <w:tr w:rsidR="00344CA2" w:rsidRPr="00077A08" w14:paraId="09F4D33B" w14:textId="77777777" w:rsidTr="00C27865">
        <w:trPr>
          <w:cantSplit/>
          <w:hidden/>
        </w:trPr>
        <w:tc>
          <w:tcPr>
            <w:tcW w:w="1734" w:type="pct"/>
          </w:tcPr>
          <w:p w14:paraId="0484945C" w14:textId="77777777" w:rsidR="00344CA2" w:rsidRPr="00077A08" w:rsidRDefault="006D0AB6" w:rsidP="00444B7E">
            <w:pPr>
              <w:rPr>
                <w:vanish/>
                <w:sz w:val="20"/>
                <w:szCs w:val="20"/>
              </w:rPr>
            </w:pPr>
            <w:r w:rsidRPr="00077A08">
              <w:rPr>
                <w:vanish/>
                <w:sz w:val="20"/>
                <w:szCs w:val="20"/>
              </w:rPr>
              <w:t>(select)</w:t>
            </w:r>
          </w:p>
        </w:tc>
        <w:tc>
          <w:tcPr>
            <w:tcW w:w="1521" w:type="pct"/>
          </w:tcPr>
          <w:p w14:paraId="6D3C4803" w14:textId="77777777" w:rsidR="00344CA2" w:rsidRPr="00077A08" w:rsidRDefault="006D0AB6" w:rsidP="00407952">
            <w:pPr>
              <w:rPr>
                <w:vanish/>
                <w:sz w:val="20"/>
                <w:szCs w:val="20"/>
              </w:rPr>
            </w:pPr>
            <w:r w:rsidRPr="00077A08">
              <w:rPr>
                <w:noProof/>
                <w:vanish/>
                <w:sz w:val="20"/>
                <w:szCs w:val="20"/>
              </w:rPr>
              <w:t xml:space="preserve">     </w:t>
            </w:r>
          </w:p>
        </w:tc>
        <w:tc>
          <w:tcPr>
            <w:tcW w:w="1086" w:type="pct"/>
            <w:shd w:val="clear" w:color="auto" w:fill="auto"/>
          </w:tcPr>
          <w:p w14:paraId="3CA39CF1" w14:textId="77777777" w:rsidR="00344CA2" w:rsidRPr="00077A08" w:rsidRDefault="006D0AB6" w:rsidP="00407952">
            <w:pPr>
              <w:ind w:left="5"/>
              <w:rPr>
                <w:vanish/>
                <w:sz w:val="20"/>
                <w:szCs w:val="20"/>
              </w:rPr>
            </w:pPr>
            <w:r w:rsidRPr="00077A08">
              <w:rPr>
                <w:vanish/>
                <w:sz w:val="20"/>
                <w:szCs w:val="20"/>
              </w:rPr>
              <w:t>(select)</w:t>
            </w:r>
          </w:p>
        </w:tc>
        <w:tc>
          <w:tcPr>
            <w:tcW w:w="659" w:type="pct"/>
          </w:tcPr>
          <w:p w14:paraId="6BC89B25" w14:textId="77777777" w:rsidR="00344CA2" w:rsidRPr="00077A08" w:rsidRDefault="006D0AB6" w:rsidP="00436AF0">
            <w:pPr>
              <w:ind w:left="-6"/>
              <w:jc w:val="right"/>
              <w:rPr>
                <w:vanish/>
                <w:sz w:val="20"/>
                <w:szCs w:val="20"/>
              </w:rPr>
            </w:pPr>
            <w:r w:rsidRPr="00077A08">
              <w:rPr>
                <w:noProof/>
                <w:vanish/>
                <w:sz w:val="20"/>
                <w:szCs w:val="20"/>
              </w:rPr>
              <w:t xml:space="preserve">     </w:t>
            </w:r>
          </w:p>
        </w:tc>
      </w:tr>
      <w:tr w:rsidR="00344CA2" w:rsidRPr="00077A08" w14:paraId="6735AC05" w14:textId="77777777" w:rsidTr="00C27865">
        <w:trPr>
          <w:cantSplit/>
          <w:hidden/>
        </w:trPr>
        <w:tc>
          <w:tcPr>
            <w:tcW w:w="1734" w:type="pct"/>
          </w:tcPr>
          <w:p w14:paraId="10582A6B" w14:textId="77777777" w:rsidR="00344CA2" w:rsidRPr="00077A08" w:rsidRDefault="006D0AB6" w:rsidP="00444B7E">
            <w:pPr>
              <w:rPr>
                <w:vanish/>
                <w:sz w:val="20"/>
                <w:szCs w:val="20"/>
              </w:rPr>
            </w:pPr>
            <w:r w:rsidRPr="00077A08">
              <w:rPr>
                <w:vanish/>
                <w:sz w:val="20"/>
                <w:szCs w:val="20"/>
              </w:rPr>
              <w:t>(select)</w:t>
            </w:r>
          </w:p>
        </w:tc>
        <w:tc>
          <w:tcPr>
            <w:tcW w:w="1521" w:type="pct"/>
          </w:tcPr>
          <w:p w14:paraId="21601640" w14:textId="77777777" w:rsidR="00344CA2" w:rsidRPr="00077A08" w:rsidRDefault="006D0AB6" w:rsidP="00407952">
            <w:pPr>
              <w:rPr>
                <w:vanish/>
                <w:sz w:val="20"/>
                <w:szCs w:val="20"/>
              </w:rPr>
            </w:pPr>
            <w:r w:rsidRPr="00077A08">
              <w:rPr>
                <w:noProof/>
                <w:vanish/>
                <w:sz w:val="20"/>
                <w:szCs w:val="20"/>
              </w:rPr>
              <w:t xml:space="preserve">     </w:t>
            </w:r>
          </w:p>
        </w:tc>
        <w:tc>
          <w:tcPr>
            <w:tcW w:w="1086" w:type="pct"/>
            <w:shd w:val="clear" w:color="auto" w:fill="auto"/>
          </w:tcPr>
          <w:p w14:paraId="7E4264BF" w14:textId="77777777" w:rsidR="00344CA2" w:rsidRPr="00077A08" w:rsidRDefault="006D0AB6" w:rsidP="00407952">
            <w:pPr>
              <w:ind w:left="5"/>
              <w:rPr>
                <w:vanish/>
                <w:sz w:val="20"/>
                <w:szCs w:val="20"/>
              </w:rPr>
            </w:pPr>
            <w:r w:rsidRPr="00077A08">
              <w:rPr>
                <w:vanish/>
                <w:sz w:val="20"/>
                <w:szCs w:val="20"/>
              </w:rPr>
              <w:t>(select)</w:t>
            </w:r>
          </w:p>
        </w:tc>
        <w:tc>
          <w:tcPr>
            <w:tcW w:w="659" w:type="pct"/>
          </w:tcPr>
          <w:p w14:paraId="541FE8E0" w14:textId="77777777" w:rsidR="00344CA2" w:rsidRPr="00077A08" w:rsidRDefault="006D0AB6" w:rsidP="00407952">
            <w:pPr>
              <w:ind w:left="-6"/>
              <w:jc w:val="right"/>
              <w:rPr>
                <w:vanish/>
                <w:sz w:val="20"/>
                <w:szCs w:val="20"/>
              </w:rPr>
            </w:pPr>
            <w:r w:rsidRPr="00077A08">
              <w:rPr>
                <w:noProof/>
                <w:vanish/>
                <w:sz w:val="20"/>
                <w:szCs w:val="20"/>
              </w:rPr>
              <w:t xml:space="preserve">     </w:t>
            </w:r>
          </w:p>
        </w:tc>
      </w:tr>
      <w:tr w:rsidR="00344CA2" w:rsidRPr="007E3AFB" w14:paraId="79B82BE7" w14:textId="77777777" w:rsidTr="00C27865">
        <w:trPr>
          <w:cantSplit/>
        </w:trPr>
        <w:tc>
          <w:tcPr>
            <w:tcW w:w="1734" w:type="pct"/>
            <w:tcBorders>
              <w:top w:val="double" w:sz="4" w:space="0" w:color="auto"/>
              <w:bottom w:val="double" w:sz="4" w:space="0" w:color="auto"/>
            </w:tcBorders>
          </w:tcPr>
          <w:p w14:paraId="11152312" w14:textId="77777777" w:rsidR="00344CA2" w:rsidRPr="00077A08" w:rsidRDefault="00BD1A2B" w:rsidP="00407952">
            <w:pPr>
              <w:rPr>
                <w:b/>
                <w:sz w:val="20"/>
                <w:szCs w:val="20"/>
              </w:rPr>
            </w:pPr>
            <w:r w:rsidRPr="00077A08">
              <w:rPr>
                <w:b/>
                <w:sz w:val="20"/>
                <w:szCs w:val="20"/>
              </w:rPr>
              <w:t xml:space="preserve">Total </w:t>
            </w:r>
            <w:proofErr w:type="spellStart"/>
            <w:r w:rsidRPr="00077A08">
              <w:rPr>
                <w:b/>
                <w:sz w:val="20"/>
                <w:szCs w:val="20"/>
              </w:rPr>
              <w:t>Co</w:t>
            </w:r>
            <w:r w:rsidR="00344CA2" w:rsidRPr="00077A08">
              <w:rPr>
                <w:b/>
                <w:sz w:val="20"/>
                <w:szCs w:val="20"/>
              </w:rPr>
              <w:t>financing</w:t>
            </w:r>
            <w:proofErr w:type="spellEnd"/>
          </w:p>
        </w:tc>
        <w:tc>
          <w:tcPr>
            <w:tcW w:w="1521" w:type="pct"/>
            <w:tcBorders>
              <w:top w:val="double" w:sz="4" w:space="0" w:color="auto"/>
              <w:bottom w:val="double" w:sz="4" w:space="0" w:color="auto"/>
            </w:tcBorders>
            <w:shd w:val="clear" w:color="auto" w:fill="CCCCCC"/>
          </w:tcPr>
          <w:p w14:paraId="72EF288D" w14:textId="77777777" w:rsidR="00344CA2" w:rsidRPr="00077A08" w:rsidRDefault="00344CA2" w:rsidP="00407952">
            <w:pPr>
              <w:jc w:val="right"/>
              <w:rPr>
                <w:sz w:val="20"/>
                <w:szCs w:val="20"/>
              </w:rPr>
            </w:pPr>
          </w:p>
        </w:tc>
        <w:tc>
          <w:tcPr>
            <w:tcW w:w="1086" w:type="pct"/>
            <w:tcBorders>
              <w:top w:val="double" w:sz="4" w:space="0" w:color="auto"/>
              <w:bottom w:val="double" w:sz="4" w:space="0" w:color="auto"/>
            </w:tcBorders>
            <w:shd w:val="clear" w:color="auto" w:fill="CCCCCC"/>
          </w:tcPr>
          <w:p w14:paraId="5BF3A035" w14:textId="77777777" w:rsidR="00344CA2" w:rsidRPr="00077A08" w:rsidRDefault="00344CA2" w:rsidP="00407952">
            <w:pPr>
              <w:ind w:left="5"/>
              <w:jc w:val="right"/>
              <w:rPr>
                <w:sz w:val="20"/>
                <w:szCs w:val="20"/>
              </w:rPr>
            </w:pPr>
          </w:p>
        </w:tc>
        <w:tc>
          <w:tcPr>
            <w:tcW w:w="659" w:type="pct"/>
            <w:tcBorders>
              <w:top w:val="double" w:sz="4" w:space="0" w:color="auto"/>
              <w:bottom w:val="double" w:sz="4" w:space="0" w:color="auto"/>
            </w:tcBorders>
          </w:tcPr>
          <w:p w14:paraId="2C55FC2E" w14:textId="77777777" w:rsidR="00344CA2" w:rsidRPr="007E3AFB" w:rsidRDefault="00F12F08" w:rsidP="00F12F08">
            <w:pPr>
              <w:ind w:left="-6"/>
              <w:jc w:val="right"/>
              <w:rPr>
                <w:sz w:val="20"/>
                <w:szCs w:val="20"/>
              </w:rPr>
            </w:pPr>
            <w:bookmarkStart w:id="53" w:name="Total_C_COAMT"/>
            <w:r w:rsidRPr="00077A08">
              <w:rPr>
                <w:noProof/>
                <w:sz w:val="20"/>
                <w:szCs w:val="20"/>
              </w:rPr>
              <w:t>34</w:t>
            </w:r>
            <w:r w:rsidR="00A324D9" w:rsidRPr="00077A08">
              <w:rPr>
                <w:noProof/>
                <w:sz w:val="20"/>
                <w:szCs w:val="20"/>
              </w:rPr>
              <w:t>,</w:t>
            </w:r>
            <w:r w:rsidRPr="00077A08">
              <w:rPr>
                <w:noProof/>
                <w:sz w:val="20"/>
                <w:szCs w:val="20"/>
              </w:rPr>
              <w:t>0</w:t>
            </w:r>
            <w:r w:rsidR="00A324D9" w:rsidRPr="00077A08">
              <w:rPr>
                <w:noProof/>
                <w:sz w:val="20"/>
                <w:szCs w:val="20"/>
              </w:rPr>
              <w:t>00,000</w:t>
            </w:r>
            <w:bookmarkEnd w:id="53"/>
          </w:p>
        </w:tc>
      </w:tr>
    </w:tbl>
    <w:p w14:paraId="297929CA" w14:textId="77777777" w:rsidR="00276471" w:rsidRPr="005B6ABF" w:rsidRDefault="00BC472A" w:rsidP="00C23751">
      <w:pPr>
        <w:pStyle w:val="Footer"/>
        <w:numPr>
          <w:ilvl w:val="0"/>
          <w:numId w:val="23"/>
        </w:numPr>
        <w:tabs>
          <w:tab w:val="clear" w:pos="4320"/>
          <w:tab w:val="clear" w:pos="8640"/>
        </w:tabs>
        <w:spacing w:before="240" w:after="80"/>
        <w:ind w:left="-720" w:firstLine="0"/>
        <w:rPr>
          <w:b/>
          <w:smallCaps/>
          <w:sz w:val="22"/>
          <w:szCs w:val="22"/>
        </w:rPr>
      </w:pPr>
      <w:r>
        <w:rPr>
          <w:b/>
          <w:smallCaps/>
          <w:sz w:val="22"/>
          <w:szCs w:val="22"/>
        </w:rPr>
        <w:t xml:space="preserve">indicative </w:t>
      </w:r>
      <w:r w:rsidR="007F44AA">
        <w:rPr>
          <w:b/>
          <w:smallCaps/>
          <w:sz w:val="22"/>
          <w:szCs w:val="22"/>
        </w:rPr>
        <w:t>trust fund</w:t>
      </w:r>
      <w:r w:rsidR="005B6ABF" w:rsidRPr="005B6ABF">
        <w:rPr>
          <w:b/>
          <w:smallCaps/>
          <w:sz w:val="22"/>
          <w:szCs w:val="22"/>
        </w:rPr>
        <w:t xml:space="preserve"> </w:t>
      </w:r>
      <w:r w:rsidR="00107376" w:rsidRPr="005B6ABF">
        <w:rPr>
          <w:b/>
          <w:smallCaps/>
          <w:sz w:val="22"/>
          <w:szCs w:val="22"/>
        </w:rPr>
        <w:t xml:space="preserve"> Res</w:t>
      </w:r>
      <w:r w:rsidR="005B6ABF">
        <w:rPr>
          <w:b/>
          <w:smallCaps/>
          <w:sz w:val="22"/>
          <w:szCs w:val="22"/>
        </w:rPr>
        <w:t xml:space="preserve">ources </w:t>
      </w:r>
      <w:r w:rsidR="00667450" w:rsidRPr="007E3AFB">
        <w:rPr>
          <w:b/>
          <w:smallCaps/>
        </w:rPr>
        <w:t>($)</w:t>
      </w:r>
      <w:r w:rsidR="00667450">
        <w:rPr>
          <w:b/>
          <w:smallCaps/>
        </w:rPr>
        <w:t xml:space="preserve"> </w:t>
      </w:r>
      <w:r w:rsidR="005B6ABF">
        <w:rPr>
          <w:b/>
          <w:smallCaps/>
          <w:sz w:val="22"/>
          <w:szCs w:val="22"/>
        </w:rPr>
        <w:t xml:space="preserve">Requested by Agency, Focal Area </w:t>
      </w:r>
      <w:r w:rsidR="00107376" w:rsidRPr="005B6ABF">
        <w:rPr>
          <w:b/>
          <w:smallCaps/>
          <w:sz w:val="22"/>
          <w:szCs w:val="22"/>
        </w:rPr>
        <w:t>and Country</w:t>
      </w:r>
      <w:r w:rsidR="00107376" w:rsidRPr="005B6ABF">
        <w:rPr>
          <w:rStyle w:val="FootnoteReference"/>
          <w:b/>
          <w:bCs/>
          <w:caps/>
          <w:color w:val="000000"/>
          <w:sz w:val="22"/>
          <w:szCs w:val="22"/>
        </w:rPr>
        <w:t>1</w:t>
      </w:r>
    </w:p>
    <w:p w14:paraId="28450160" w14:textId="77777777" w:rsidR="00181537" w:rsidRDefault="006D0AB6" w:rsidP="00FA48C4">
      <w:pPr>
        <w:pStyle w:val="Footer"/>
        <w:tabs>
          <w:tab w:val="clear" w:pos="4320"/>
          <w:tab w:val="clear" w:pos="8640"/>
        </w:tabs>
        <w:ind w:left="-720"/>
        <w:rPr>
          <w:bCs/>
          <w:sz w:val="18"/>
          <w:szCs w:val="18"/>
        </w:rPr>
      </w:pPr>
      <w:r>
        <w:rPr>
          <w:bCs/>
          <w:sz w:val="18"/>
          <w:szCs w:val="18"/>
        </w:rPr>
        <w:t>N/a</w:t>
      </w:r>
    </w:p>
    <w:p w14:paraId="7A52954A" w14:textId="77777777" w:rsidR="00653744" w:rsidRDefault="00653744" w:rsidP="00FA48C4">
      <w:pPr>
        <w:pStyle w:val="Footer"/>
        <w:tabs>
          <w:tab w:val="clear" w:pos="4320"/>
          <w:tab w:val="clear" w:pos="8640"/>
        </w:tabs>
        <w:ind w:left="-720"/>
        <w:rPr>
          <w:bCs/>
          <w:sz w:val="18"/>
          <w:szCs w:val="18"/>
        </w:rPr>
      </w:pPr>
    </w:p>
    <w:p w14:paraId="4D363AC8" w14:textId="77777777" w:rsidR="00653744" w:rsidRDefault="00653744" w:rsidP="00FA48C4">
      <w:pPr>
        <w:pStyle w:val="Footer"/>
        <w:tabs>
          <w:tab w:val="clear" w:pos="4320"/>
          <w:tab w:val="clear" w:pos="8640"/>
        </w:tabs>
        <w:ind w:left="-720"/>
        <w:rPr>
          <w:bCs/>
          <w:sz w:val="18"/>
          <w:szCs w:val="18"/>
        </w:rPr>
      </w:pPr>
    </w:p>
    <w:p w14:paraId="3479F116" w14:textId="77777777" w:rsidR="00653744" w:rsidRDefault="00653744" w:rsidP="00FA48C4">
      <w:pPr>
        <w:pStyle w:val="Footer"/>
        <w:tabs>
          <w:tab w:val="clear" w:pos="4320"/>
          <w:tab w:val="clear" w:pos="8640"/>
        </w:tabs>
        <w:ind w:left="-720"/>
        <w:rPr>
          <w:bCs/>
          <w:sz w:val="18"/>
          <w:szCs w:val="18"/>
        </w:rPr>
      </w:pPr>
    </w:p>
    <w:p w14:paraId="45229815" w14:textId="77777777" w:rsidR="00653744" w:rsidRDefault="00653744" w:rsidP="00FA48C4">
      <w:pPr>
        <w:pStyle w:val="Footer"/>
        <w:tabs>
          <w:tab w:val="clear" w:pos="4320"/>
          <w:tab w:val="clear" w:pos="8640"/>
        </w:tabs>
        <w:ind w:left="-720"/>
        <w:rPr>
          <w:bCs/>
          <w:sz w:val="18"/>
          <w:szCs w:val="18"/>
        </w:rPr>
      </w:pPr>
    </w:p>
    <w:p w14:paraId="5B313538" w14:textId="77777777" w:rsidR="00653744" w:rsidRDefault="00653744" w:rsidP="00FA48C4">
      <w:pPr>
        <w:pStyle w:val="Footer"/>
        <w:tabs>
          <w:tab w:val="clear" w:pos="4320"/>
          <w:tab w:val="clear" w:pos="8640"/>
        </w:tabs>
        <w:ind w:left="-720"/>
        <w:rPr>
          <w:bCs/>
          <w:sz w:val="18"/>
          <w:szCs w:val="18"/>
        </w:rPr>
      </w:pPr>
    </w:p>
    <w:p w14:paraId="09D38C26" w14:textId="77777777" w:rsidR="00653744" w:rsidRDefault="00653744" w:rsidP="00FA48C4">
      <w:pPr>
        <w:pStyle w:val="Footer"/>
        <w:tabs>
          <w:tab w:val="clear" w:pos="4320"/>
          <w:tab w:val="clear" w:pos="8640"/>
        </w:tabs>
        <w:ind w:left="-720"/>
        <w:rPr>
          <w:bCs/>
          <w:sz w:val="18"/>
          <w:szCs w:val="18"/>
        </w:rPr>
      </w:pPr>
    </w:p>
    <w:p w14:paraId="13B44960" w14:textId="77777777" w:rsidR="006D0AB6" w:rsidRDefault="006D0AB6" w:rsidP="00FA48C4">
      <w:pPr>
        <w:pStyle w:val="Footer"/>
        <w:tabs>
          <w:tab w:val="clear" w:pos="4320"/>
          <w:tab w:val="clear" w:pos="8640"/>
        </w:tabs>
        <w:ind w:left="-720"/>
        <w:rPr>
          <w:bCs/>
          <w:sz w:val="18"/>
          <w:szCs w:val="18"/>
        </w:rPr>
      </w:pPr>
    </w:p>
    <w:p w14:paraId="066FAADD" w14:textId="77777777" w:rsidR="00181537" w:rsidRDefault="00181537" w:rsidP="00592BEC">
      <w:pPr>
        <w:pStyle w:val="Footer"/>
        <w:numPr>
          <w:ilvl w:val="0"/>
          <w:numId w:val="23"/>
        </w:numPr>
        <w:tabs>
          <w:tab w:val="clear" w:pos="4320"/>
          <w:tab w:val="clear" w:pos="8640"/>
        </w:tabs>
        <w:spacing w:after="120"/>
        <w:ind w:left="-720" w:firstLine="0"/>
        <w:rPr>
          <w:b/>
          <w:smallCaps/>
          <w:sz w:val="22"/>
          <w:szCs w:val="22"/>
        </w:rPr>
      </w:pPr>
      <w:r>
        <w:rPr>
          <w:b/>
          <w:smallCaps/>
          <w:sz w:val="22"/>
          <w:szCs w:val="22"/>
        </w:rPr>
        <w:lastRenderedPageBreak/>
        <w:t xml:space="preserve"> Project preparation grant (ppg)</w:t>
      </w:r>
      <w:r w:rsidR="007F44AA">
        <w:rPr>
          <w:rStyle w:val="FootnoteReference"/>
          <w:b/>
          <w:smallCaps/>
          <w:sz w:val="22"/>
          <w:szCs w:val="22"/>
        </w:rPr>
        <w:footnoteReference w:id="6"/>
      </w:r>
    </w:p>
    <w:p w14:paraId="04FAA29A" w14:textId="77777777" w:rsidR="00E16042" w:rsidRDefault="00181537" w:rsidP="00AE49B5">
      <w:pPr>
        <w:pStyle w:val="Footer"/>
        <w:rPr>
          <w:sz w:val="22"/>
          <w:szCs w:val="22"/>
        </w:rPr>
      </w:pPr>
      <w:r w:rsidRPr="00283BED">
        <w:rPr>
          <w:sz w:val="22"/>
          <w:szCs w:val="22"/>
        </w:rPr>
        <w:t>Please check on the appropriate box fo</w:t>
      </w:r>
      <w:r w:rsidR="00870816" w:rsidRPr="00283BED">
        <w:rPr>
          <w:sz w:val="22"/>
          <w:szCs w:val="22"/>
        </w:rPr>
        <w:t>r PPG as needed for the project according to the GEF Project Grant:</w:t>
      </w:r>
    </w:p>
    <w:p w14:paraId="1E3C97E8" w14:textId="77777777" w:rsidR="00585087" w:rsidRPr="00585087" w:rsidRDefault="00D67967" w:rsidP="00D67967">
      <w:pPr>
        <w:pStyle w:val="Footer"/>
        <w:tabs>
          <w:tab w:val="clear" w:pos="4320"/>
          <w:tab w:val="clear" w:pos="8640"/>
        </w:tabs>
        <w:rPr>
          <w:sz w:val="22"/>
          <w:szCs w:val="22"/>
        </w:rPr>
      </w:pP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85087">
        <w:rPr>
          <w:sz w:val="22"/>
          <w:szCs w:val="22"/>
        </w:rPr>
        <w:t xml:space="preserve">       </w:t>
      </w:r>
      <w:r w:rsidRPr="00D67967">
        <w:rPr>
          <w:sz w:val="22"/>
          <w:szCs w:val="22"/>
          <w:u w:val="single"/>
        </w:rPr>
        <w:t xml:space="preserve">Amount </w:t>
      </w:r>
      <w:r w:rsidR="00585087">
        <w:rPr>
          <w:sz w:val="22"/>
          <w:szCs w:val="22"/>
        </w:rPr>
        <w:t xml:space="preserve">                        </w:t>
      </w:r>
      <w:r w:rsidR="00585087" w:rsidRPr="00585087">
        <w:rPr>
          <w:sz w:val="22"/>
          <w:szCs w:val="22"/>
          <w:u w:val="single"/>
        </w:rPr>
        <w:t xml:space="preserve">Agency Fee </w:t>
      </w:r>
      <w:r w:rsidR="00585087">
        <w:rPr>
          <w:sz w:val="22"/>
          <w:szCs w:val="22"/>
          <w:u w:val="single"/>
        </w:rPr>
        <w:t xml:space="preserve">                </w:t>
      </w:r>
    </w:p>
    <w:p w14:paraId="159C6E55" w14:textId="77777777" w:rsidR="00585087" w:rsidRPr="00585087" w:rsidRDefault="00585087" w:rsidP="00D67967">
      <w:pPr>
        <w:pStyle w:val="Footer"/>
        <w:tabs>
          <w:tab w:val="clear" w:pos="4320"/>
          <w:tab w:val="clear" w:pos="86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585087">
        <w:rPr>
          <w:sz w:val="22"/>
          <w:szCs w:val="22"/>
          <w:u w:val="single"/>
        </w:rPr>
        <w:t>Requested ($)</w:t>
      </w:r>
      <w:r w:rsidRPr="00585087">
        <w:rPr>
          <w:sz w:val="22"/>
          <w:szCs w:val="22"/>
          <w:u w:val="single"/>
        </w:rPr>
        <w:tab/>
      </w:r>
      <w:r>
        <w:rPr>
          <w:sz w:val="22"/>
          <w:szCs w:val="22"/>
        </w:rPr>
        <w:t xml:space="preserve">      </w:t>
      </w:r>
      <w:r w:rsidRPr="00585087">
        <w:rPr>
          <w:sz w:val="22"/>
          <w:szCs w:val="22"/>
          <w:u w:val="single"/>
        </w:rPr>
        <w:t>for PPG ($)</w:t>
      </w:r>
      <w:r>
        <w:rPr>
          <w:rStyle w:val="FootnoteReference"/>
          <w:sz w:val="22"/>
          <w:szCs w:val="22"/>
          <w:u w:val="single"/>
        </w:rPr>
        <w:footnoteReference w:id="7"/>
      </w:r>
    </w:p>
    <w:p w14:paraId="2D417E8F" w14:textId="77777777" w:rsidR="00D67967" w:rsidRDefault="00283BED" w:rsidP="00870816">
      <w:pPr>
        <w:pStyle w:val="Footer"/>
        <w:numPr>
          <w:ilvl w:val="0"/>
          <w:numId w:val="17"/>
        </w:numPr>
        <w:tabs>
          <w:tab w:val="clear" w:pos="4320"/>
          <w:tab w:val="clear" w:pos="8640"/>
        </w:tabs>
        <w:ind w:left="360"/>
        <w:rPr>
          <w:sz w:val="22"/>
          <w:szCs w:val="22"/>
        </w:rPr>
      </w:pPr>
      <w:r w:rsidRPr="00D67967">
        <w:rPr>
          <w:sz w:val="22"/>
          <w:szCs w:val="22"/>
        </w:rPr>
        <w:t>No PPG required.</w:t>
      </w:r>
      <w:r w:rsidR="00975233" w:rsidRPr="00D67967">
        <w:rPr>
          <w:sz w:val="22"/>
          <w:szCs w:val="22"/>
        </w:rPr>
        <w:t xml:space="preserve">                                           </w:t>
      </w:r>
      <w:r w:rsidR="00D67967">
        <w:rPr>
          <w:sz w:val="22"/>
          <w:szCs w:val="22"/>
        </w:rPr>
        <w:tab/>
      </w:r>
      <w:r w:rsidR="00D67967">
        <w:rPr>
          <w:sz w:val="22"/>
          <w:szCs w:val="22"/>
        </w:rPr>
        <w:tab/>
      </w:r>
      <w:r w:rsidR="00585087">
        <w:rPr>
          <w:sz w:val="22"/>
          <w:szCs w:val="22"/>
        </w:rPr>
        <w:t xml:space="preserve">       </w:t>
      </w:r>
      <w:r w:rsidR="00822A4A">
        <w:rPr>
          <w:sz w:val="22"/>
          <w:szCs w:val="22"/>
          <w:u w:val="single"/>
        </w:rPr>
        <w:t>___</w:t>
      </w:r>
      <w:r w:rsidR="00D67967" w:rsidRPr="00D67967">
        <w:rPr>
          <w:sz w:val="22"/>
          <w:szCs w:val="22"/>
          <w:u w:val="single"/>
        </w:rPr>
        <w:t>-- 0--______</w:t>
      </w:r>
      <w:r w:rsidR="00585087">
        <w:rPr>
          <w:sz w:val="22"/>
          <w:szCs w:val="22"/>
        </w:rPr>
        <w:t xml:space="preserve">       </w:t>
      </w:r>
      <w:r w:rsidR="00585087" w:rsidRPr="00585087">
        <w:rPr>
          <w:sz w:val="22"/>
          <w:szCs w:val="22"/>
          <w:u w:val="single"/>
        </w:rPr>
        <w:t>_  --0--_______</w:t>
      </w:r>
    </w:p>
    <w:p w14:paraId="44A0F8F5" w14:textId="77777777" w:rsidR="00870816" w:rsidRPr="00D67967" w:rsidRDefault="00870816" w:rsidP="00870816">
      <w:pPr>
        <w:pStyle w:val="Footer"/>
        <w:numPr>
          <w:ilvl w:val="0"/>
          <w:numId w:val="17"/>
        </w:numPr>
        <w:tabs>
          <w:tab w:val="clear" w:pos="4320"/>
          <w:tab w:val="clear" w:pos="8640"/>
        </w:tabs>
        <w:ind w:left="360"/>
        <w:rPr>
          <w:sz w:val="22"/>
          <w:szCs w:val="22"/>
        </w:rPr>
      </w:pPr>
      <w:r w:rsidRPr="00D67967">
        <w:rPr>
          <w:color w:val="000000"/>
          <w:sz w:val="22"/>
          <w:szCs w:val="22"/>
        </w:rPr>
        <w:t>(</w:t>
      </w:r>
      <w:proofErr w:type="spellStart"/>
      <w:r w:rsidRPr="00D67967">
        <w:rPr>
          <w:color w:val="000000"/>
          <w:sz w:val="22"/>
          <w:szCs w:val="22"/>
        </w:rPr>
        <w:t>upto</w:t>
      </w:r>
      <w:proofErr w:type="spellEnd"/>
      <w:r w:rsidRPr="00D67967">
        <w:rPr>
          <w:color w:val="000000"/>
          <w:sz w:val="22"/>
          <w:szCs w:val="22"/>
        </w:rPr>
        <w:t xml:space="preserve">) $50k for </w:t>
      </w:r>
      <w:r w:rsidR="00667450">
        <w:rPr>
          <w:color w:val="000000"/>
          <w:sz w:val="22"/>
          <w:szCs w:val="22"/>
        </w:rPr>
        <w:t>projects</w:t>
      </w:r>
      <w:r w:rsidR="00667450" w:rsidRPr="00D67967">
        <w:rPr>
          <w:color w:val="000000"/>
          <w:sz w:val="22"/>
          <w:szCs w:val="22"/>
        </w:rPr>
        <w:t xml:space="preserve"> </w:t>
      </w:r>
      <w:r w:rsidRPr="00D67967">
        <w:rPr>
          <w:color w:val="000000"/>
          <w:sz w:val="22"/>
          <w:szCs w:val="22"/>
        </w:rPr>
        <w:t>up to</w:t>
      </w:r>
      <w:r w:rsidR="00822A4A">
        <w:rPr>
          <w:color w:val="000000"/>
          <w:sz w:val="22"/>
          <w:szCs w:val="22"/>
        </w:rPr>
        <w:t xml:space="preserve"> &amp; including</w:t>
      </w:r>
      <w:r w:rsidRPr="00D67967">
        <w:rPr>
          <w:color w:val="000000"/>
          <w:sz w:val="22"/>
          <w:szCs w:val="22"/>
        </w:rPr>
        <w:t xml:space="preserve"> $1 million</w:t>
      </w:r>
      <w:r w:rsidRPr="00D67967">
        <w:rPr>
          <w:color w:val="000000"/>
          <w:sz w:val="22"/>
          <w:szCs w:val="22"/>
        </w:rPr>
        <w:tab/>
      </w:r>
      <w:r w:rsidR="00585087">
        <w:rPr>
          <w:color w:val="000000"/>
          <w:sz w:val="22"/>
          <w:szCs w:val="22"/>
        </w:rPr>
        <w:t xml:space="preserve">       </w:t>
      </w:r>
      <w:r w:rsidR="00D67967">
        <w:rPr>
          <w:sz w:val="22"/>
          <w:szCs w:val="22"/>
        </w:rPr>
        <w:t>___</w:t>
      </w:r>
      <w:r w:rsidR="006D0AB6" w:rsidRPr="00D67967">
        <w:rPr>
          <w:noProof/>
          <w:sz w:val="20"/>
          <w:szCs w:val="20"/>
          <w:u w:val="single"/>
        </w:rPr>
        <w:t xml:space="preserve">     </w:t>
      </w:r>
      <w:r w:rsidR="00D67967" w:rsidRPr="00D67967">
        <w:rPr>
          <w:sz w:val="22"/>
          <w:szCs w:val="22"/>
          <w:u w:val="single"/>
        </w:rPr>
        <w:t>_</w:t>
      </w:r>
      <w:r w:rsidR="00D67967">
        <w:rPr>
          <w:sz w:val="22"/>
          <w:szCs w:val="22"/>
        </w:rPr>
        <w:t>_______</w:t>
      </w:r>
      <w:r w:rsidR="00585087">
        <w:rPr>
          <w:sz w:val="22"/>
          <w:szCs w:val="22"/>
        </w:rPr>
        <w:t xml:space="preserve">      </w:t>
      </w:r>
      <w:r w:rsidR="006D0AB6">
        <w:rPr>
          <w:sz w:val="22"/>
          <w:szCs w:val="22"/>
        </w:rPr>
        <w:t xml:space="preserve"> </w:t>
      </w:r>
      <w:r w:rsidR="00C56353">
        <w:rPr>
          <w:sz w:val="22"/>
          <w:szCs w:val="22"/>
        </w:rPr>
        <w:t>__</w:t>
      </w:r>
      <w:r w:rsidR="00585087" w:rsidRPr="00585087">
        <w:rPr>
          <w:sz w:val="22"/>
          <w:szCs w:val="22"/>
        </w:rPr>
        <w:t>___</w:t>
      </w:r>
      <w:r w:rsidR="006D0AB6" w:rsidRPr="00585087">
        <w:rPr>
          <w:noProof/>
          <w:sz w:val="22"/>
          <w:szCs w:val="22"/>
          <w:u w:val="single"/>
        </w:rPr>
        <w:t xml:space="preserve">     </w:t>
      </w:r>
      <w:r w:rsidR="00585087" w:rsidRPr="00585087">
        <w:rPr>
          <w:sz w:val="22"/>
          <w:szCs w:val="22"/>
          <w:u w:val="single"/>
        </w:rPr>
        <w:t>_</w:t>
      </w:r>
      <w:r w:rsidR="00585087">
        <w:rPr>
          <w:sz w:val="22"/>
          <w:szCs w:val="22"/>
        </w:rPr>
        <w:t>____</w:t>
      </w:r>
    </w:p>
    <w:p w14:paraId="6E7BB401" w14:textId="77777777" w:rsidR="00870816" w:rsidRPr="00283BED" w:rsidRDefault="00870816" w:rsidP="00870816">
      <w:pPr>
        <w:pStyle w:val="Footer"/>
        <w:numPr>
          <w:ilvl w:val="0"/>
          <w:numId w:val="17"/>
        </w:numPr>
        <w:tabs>
          <w:tab w:val="clear" w:pos="4320"/>
          <w:tab w:val="clear" w:pos="8640"/>
        </w:tabs>
        <w:ind w:left="360"/>
        <w:rPr>
          <w:sz w:val="22"/>
          <w:szCs w:val="22"/>
        </w:rPr>
      </w:pPr>
      <w:r w:rsidRPr="00283BED">
        <w:rPr>
          <w:color w:val="000000"/>
          <w:sz w:val="22"/>
          <w:szCs w:val="22"/>
        </w:rPr>
        <w:t>(</w:t>
      </w:r>
      <w:proofErr w:type="spellStart"/>
      <w:r w:rsidRPr="00283BED">
        <w:rPr>
          <w:color w:val="000000"/>
          <w:sz w:val="22"/>
          <w:szCs w:val="22"/>
        </w:rPr>
        <w:t>upto</w:t>
      </w:r>
      <w:proofErr w:type="spellEnd"/>
      <w:r w:rsidRPr="00283BED">
        <w:rPr>
          <w:color w:val="000000"/>
          <w:sz w:val="22"/>
          <w:szCs w:val="22"/>
        </w:rPr>
        <w:t>)$100k for projects up to</w:t>
      </w:r>
      <w:r w:rsidR="00822A4A">
        <w:rPr>
          <w:color w:val="000000"/>
          <w:sz w:val="22"/>
          <w:szCs w:val="22"/>
        </w:rPr>
        <w:t xml:space="preserve"> &amp; including</w:t>
      </w:r>
      <w:r w:rsidRPr="00283BED">
        <w:rPr>
          <w:color w:val="000000"/>
          <w:sz w:val="22"/>
          <w:szCs w:val="22"/>
        </w:rPr>
        <w:t xml:space="preserve"> $3 million</w:t>
      </w:r>
      <w:r w:rsidR="00975233">
        <w:rPr>
          <w:color w:val="000000"/>
          <w:sz w:val="22"/>
          <w:szCs w:val="22"/>
        </w:rPr>
        <w:t xml:space="preserve">     </w:t>
      </w:r>
      <w:r w:rsidR="00585087">
        <w:rPr>
          <w:color w:val="000000"/>
          <w:sz w:val="22"/>
          <w:szCs w:val="22"/>
        </w:rPr>
        <w:t xml:space="preserve"> </w:t>
      </w:r>
      <w:r w:rsidR="00D67967">
        <w:rPr>
          <w:sz w:val="22"/>
          <w:szCs w:val="22"/>
        </w:rPr>
        <w:t>___</w:t>
      </w:r>
      <w:r w:rsidR="00D67967" w:rsidRPr="00D67967">
        <w:rPr>
          <w:sz w:val="22"/>
          <w:szCs w:val="22"/>
          <w:u w:val="single"/>
        </w:rPr>
        <w:t>_</w:t>
      </w:r>
      <w:r w:rsidR="006D0AB6">
        <w:rPr>
          <w:sz w:val="22"/>
          <w:szCs w:val="22"/>
        </w:rPr>
        <w:t>___</w:t>
      </w:r>
      <w:r w:rsidR="00C56353">
        <w:rPr>
          <w:sz w:val="22"/>
          <w:szCs w:val="22"/>
        </w:rPr>
        <w:t>______</w:t>
      </w:r>
      <w:r w:rsidR="00585087">
        <w:rPr>
          <w:sz w:val="22"/>
          <w:szCs w:val="22"/>
        </w:rPr>
        <w:t xml:space="preserve">      </w:t>
      </w:r>
      <w:r w:rsidR="00585087" w:rsidRPr="00585087">
        <w:rPr>
          <w:sz w:val="22"/>
          <w:szCs w:val="22"/>
        </w:rPr>
        <w:t>___</w:t>
      </w:r>
      <w:r w:rsidR="00585087" w:rsidRPr="00585087">
        <w:rPr>
          <w:sz w:val="22"/>
          <w:szCs w:val="22"/>
          <w:u w:val="single"/>
        </w:rPr>
        <w:t>_</w:t>
      </w:r>
      <w:r w:rsidR="00585087">
        <w:rPr>
          <w:sz w:val="22"/>
          <w:szCs w:val="22"/>
        </w:rPr>
        <w:t>____</w:t>
      </w:r>
      <w:r w:rsidR="00C56353">
        <w:rPr>
          <w:sz w:val="22"/>
          <w:szCs w:val="22"/>
        </w:rPr>
        <w:t>_____</w:t>
      </w:r>
    </w:p>
    <w:p w14:paraId="1AB584E0" w14:textId="77777777" w:rsidR="00870816" w:rsidRPr="00283BED" w:rsidRDefault="00870816" w:rsidP="00870816">
      <w:pPr>
        <w:pStyle w:val="Footer"/>
        <w:numPr>
          <w:ilvl w:val="0"/>
          <w:numId w:val="17"/>
        </w:numPr>
        <w:tabs>
          <w:tab w:val="clear" w:pos="4320"/>
          <w:tab w:val="clear" w:pos="8640"/>
        </w:tabs>
        <w:ind w:left="360"/>
        <w:rPr>
          <w:sz w:val="22"/>
          <w:szCs w:val="22"/>
        </w:rPr>
      </w:pPr>
      <w:r w:rsidRPr="00283BED">
        <w:rPr>
          <w:color w:val="000000"/>
          <w:sz w:val="22"/>
          <w:szCs w:val="22"/>
        </w:rPr>
        <w:t>(</w:t>
      </w:r>
      <w:proofErr w:type="spellStart"/>
      <w:r w:rsidRPr="00283BED">
        <w:rPr>
          <w:color w:val="000000"/>
          <w:sz w:val="22"/>
          <w:szCs w:val="22"/>
        </w:rPr>
        <w:t>upto</w:t>
      </w:r>
      <w:proofErr w:type="spellEnd"/>
      <w:r w:rsidRPr="00283BED">
        <w:rPr>
          <w:color w:val="000000"/>
          <w:sz w:val="22"/>
          <w:szCs w:val="22"/>
        </w:rPr>
        <w:t xml:space="preserve">)$150k for projects up to </w:t>
      </w:r>
      <w:r w:rsidR="00822A4A">
        <w:rPr>
          <w:color w:val="000000"/>
          <w:sz w:val="22"/>
          <w:szCs w:val="22"/>
        </w:rPr>
        <w:t xml:space="preserve">&amp; including </w:t>
      </w:r>
      <w:r w:rsidRPr="00283BED">
        <w:rPr>
          <w:color w:val="000000"/>
          <w:sz w:val="22"/>
          <w:szCs w:val="22"/>
        </w:rPr>
        <w:t>$6 million</w:t>
      </w:r>
      <w:r w:rsidR="00975233">
        <w:rPr>
          <w:color w:val="000000"/>
          <w:sz w:val="22"/>
          <w:szCs w:val="22"/>
        </w:rPr>
        <w:t xml:space="preserve">      </w:t>
      </w:r>
      <w:r w:rsidR="00D67967">
        <w:rPr>
          <w:sz w:val="22"/>
          <w:szCs w:val="22"/>
        </w:rPr>
        <w:t>___</w:t>
      </w:r>
      <w:r w:rsidR="006D0AB6" w:rsidRPr="00D67967">
        <w:rPr>
          <w:noProof/>
          <w:sz w:val="20"/>
          <w:szCs w:val="20"/>
          <w:u w:val="single"/>
        </w:rPr>
        <w:t xml:space="preserve">     </w:t>
      </w:r>
      <w:r w:rsidR="00617D30">
        <w:rPr>
          <w:noProof/>
          <w:sz w:val="20"/>
          <w:szCs w:val="20"/>
          <w:u w:val="single"/>
        </w:rPr>
        <w:t>100,000</w:t>
      </w:r>
      <w:r w:rsidR="00D67967" w:rsidRPr="00D67967">
        <w:rPr>
          <w:sz w:val="22"/>
          <w:szCs w:val="22"/>
          <w:u w:val="single"/>
        </w:rPr>
        <w:t>_</w:t>
      </w:r>
      <w:r w:rsidR="00585087">
        <w:rPr>
          <w:sz w:val="22"/>
          <w:szCs w:val="22"/>
        </w:rPr>
        <w:t xml:space="preserve">_      </w:t>
      </w:r>
      <w:r w:rsidR="00617D30">
        <w:rPr>
          <w:noProof/>
          <w:sz w:val="22"/>
          <w:szCs w:val="22"/>
          <w:u w:val="single"/>
        </w:rPr>
        <w:t>9,500</w:t>
      </w:r>
      <w:r w:rsidR="00585087" w:rsidRPr="00585087">
        <w:rPr>
          <w:sz w:val="22"/>
          <w:szCs w:val="22"/>
        </w:rPr>
        <w:t>___</w:t>
      </w:r>
      <w:r w:rsidR="006D0AB6" w:rsidRPr="00585087">
        <w:rPr>
          <w:noProof/>
          <w:sz w:val="22"/>
          <w:szCs w:val="22"/>
          <w:u w:val="single"/>
        </w:rPr>
        <w:t xml:space="preserve">     </w:t>
      </w:r>
      <w:r w:rsidR="00585087" w:rsidRPr="00585087">
        <w:rPr>
          <w:sz w:val="22"/>
          <w:szCs w:val="22"/>
          <w:u w:val="single"/>
        </w:rPr>
        <w:t>_</w:t>
      </w:r>
      <w:r w:rsidR="00C56353">
        <w:rPr>
          <w:sz w:val="22"/>
          <w:szCs w:val="22"/>
        </w:rPr>
        <w:t>__</w:t>
      </w:r>
    </w:p>
    <w:p w14:paraId="40B73840" w14:textId="77777777" w:rsidR="00870816" w:rsidRPr="00283BED" w:rsidRDefault="00870816" w:rsidP="00870816">
      <w:pPr>
        <w:pStyle w:val="Footer"/>
        <w:numPr>
          <w:ilvl w:val="0"/>
          <w:numId w:val="17"/>
        </w:numPr>
        <w:tabs>
          <w:tab w:val="clear" w:pos="4320"/>
          <w:tab w:val="clear" w:pos="8640"/>
        </w:tabs>
        <w:ind w:left="360"/>
        <w:rPr>
          <w:sz w:val="22"/>
          <w:szCs w:val="22"/>
        </w:rPr>
      </w:pPr>
      <w:r w:rsidRPr="00283BED">
        <w:rPr>
          <w:color w:val="000000"/>
          <w:sz w:val="22"/>
          <w:szCs w:val="22"/>
        </w:rPr>
        <w:t xml:space="preserve"> (</w:t>
      </w:r>
      <w:proofErr w:type="spellStart"/>
      <w:r w:rsidRPr="00283BED">
        <w:rPr>
          <w:color w:val="000000"/>
          <w:sz w:val="22"/>
          <w:szCs w:val="22"/>
        </w:rPr>
        <w:t>upto</w:t>
      </w:r>
      <w:proofErr w:type="spellEnd"/>
      <w:r w:rsidRPr="00283BED">
        <w:rPr>
          <w:color w:val="000000"/>
          <w:sz w:val="22"/>
          <w:szCs w:val="22"/>
        </w:rPr>
        <w:t xml:space="preserve">)$200k for projects </w:t>
      </w:r>
      <w:r w:rsidR="002C7D5B">
        <w:rPr>
          <w:color w:val="000000"/>
          <w:sz w:val="22"/>
          <w:szCs w:val="22"/>
        </w:rPr>
        <w:t>up to</w:t>
      </w:r>
      <w:r w:rsidR="00822A4A">
        <w:rPr>
          <w:color w:val="000000"/>
          <w:sz w:val="22"/>
          <w:szCs w:val="22"/>
        </w:rPr>
        <w:t xml:space="preserve"> &amp; including</w:t>
      </w:r>
      <w:r w:rsidR="002C7D5B">
        <w:rPr>
          <w:color w:val="000000"/>
          <w:sz w:val="22"/>
          <w:szCs w:val="22"/>
        </w:rPr>
        <w:t xml:space="preserve"> $10</w:t>
      </w:r>
      <w:r w:rsidRPr="00283BED">
        <w:rPr>
          <w:color w:val="000000"/>
          <w:sz w:val="22"/>
          <w:szCs w:val="22"/>
        </w:rPr>
        <w:t xml:space="preserve"> million </w:t>
      </w:r>
      <w:r w:rsidR="00975233">
        <w:rPr>
          <w:color w:val="000000"/>
          <w:sz w:val="22"/>
          <w:szCs w:val="22"/>
        </w:rPr>
        <w:t xml:space="preserve"> </w:t>
      </w:r>
      <w:r w:rsidR="00585087">
        <w:rPr>
          <w:color w:val="000000"/>
          <w:sz w:val="22"/>
          <w:szCs w:val="22"/>
        </w:rPr>
        <w:t xml:space="preserve"> </w:t>
      </w:r>
      <w:r w:rsidR="00D67967">
        <w:rPr>
          <w:sz w:val="22"/>
          <w:szCs w:val="22"/>
        </w:rPr>
        <w:t>___</w:t>
      </w:r>
      <w:r w:rsidR="006D0AB6" w:rsidRPr="00D67967">
        <w:rPr>
          <w:noProof/>
          <w:sz w:val="20"/>
          <w:szCs w:val="20"/>
          <w:u w:val="single"/>
        </w:rPr>
        <w:t xml:space="preserve">     </w:t>
      </w:r>
      <w:r w:rsidR="00D67967" w:rsidRPr="00D67967">
        <w:rPr>
          <w:sz w:val="22"/>
          <w:szCs w:val="22"/>
          <w:u w:val="single"/>
        </w:rPr>
        <w:t>_</w:t>
      </w:r>
      <w:r w:rsidR="00D67967">
        <w:rPr>
          <w:sz w:val="22"/>
          <w:szCs w:val="22"/>
        </w:rPr>
        <w:t>_______</w:t>
      </w:r>
      <w:r w:rsidR="00975233">
        <w:rPr>
          <w:color w:val="000000"/>
          <w:sz w:val="22"/>
          <w:szCs w:val="22"/>
        </w:rPr>
        <w:t xml:space="preserve">      </w:t>
      </w:r>
      <w:r w:rsidR="00585087" w:rsidRPr="00585087">
        <w:rPr>
          <w:color w:val="000000"/>
          <w:sz w:val="22"/>
          <w:szCs w:val="22"/>
        </w:rPr>
        <w:t>___</w:t>
      </w:r>
      <w:r w:rsidR="006D0AB6" w:rsidRPr="00585087">
        <w:rPr>
          <w:noProof/>
          <w:color w:val="000000"/>
          <w:sz w:val="22"/>
          <w:szCs w:val="22"/>
          <w:u w:val="single"/>
        </w:rPr>
        <w:t xml:space="preserve">     </w:t>
      </w:r>
      <w:r w:rsidR="00585087" w:rsidRPr="00585087">
        <w:rPr>
          <w:color w:val="000000"/>
          <w:sz w:val="22"/>
          <w:szCs w:val="22"/>
          <w:u w:val="single"/>
        </w:rPr>
        <w:t>_</w:t>
      </w:r>
      <w:r w:rsidR="00585087" w:rsidRPr="00585087">
        <w:rPr>
          <w:color w:val="000000"/>
          <w:sz w:val="22"/>
          <w:szCs w:val="22"/>
        </w:rPr>
        <w:t>____</w:t>
      </w:r>
    </w:p>
    <w:p w14:paraId="4FF5D5E7" w14:textId="77777777" w:rsidR="00C66795" w:rsidRPr="00C66795" w:rsidRDefault="00870816" w:rsidP="00C66795">
      <w:pPr>
        <w:pStyle w:val="Footer"/>
        <w:numPr>
          <w:ilvl w:val="0"/>
          <w:numId w:val="17"/>
        </w:numPr>
        <w:tabs>
          <w:tab w:val="clear" w:pos="4320"/>
          <w:tab w:val="clear" w:pos="8640"/>
        </w:tabs>
        <w:ind w:left="360"/>
        <w:rPr>
          <w:sz w:val="22"/>
          <w:szCs w:val="22"/>
        </w:rPr>
      </w:pPr>
      <w:r w:rsidRPr="00283BED">
        <w:rPr>
          <w:color w:val="000000"/>
          <w:sz w:val="22"/>
          <w:szCs w:val="22"/>
        </w:rPr>
        <w:t xml:space="preserve"> (</w:t>
      </w:r>
      <w:proofErr w:type="spellStart"/>
      <w:r w:rsidRPr="00283BED">
        <w:rPr>
          <w:color w:val="000000"/>
          <w:sz w:val="22"/>
          <w:szCs w:val="22"/>
        </w:rPr>
        <w:t>upto</w:t>
      </w:r>
      <w:proofErr w:type="spellEnd"/>
      <w:r w:rsidRPr="00283BED">
        <w:rPr>
          <w:color w:val="000000"/>
          <w:sz w:val="22"/>
          <w:szCs w:val="22"/>
        </w:rPr>
        <w:t xml:space="preserve">)$300k for projects </w:t>
      </w:r>
      <w:r w:rsidR="002C7D5B">
        <w:rPr>
          <w:color w:val="000000"/>
          <w:sz w:val="22"/>
          <w:szCs w:val="22"/>
        </w:rPr>
        <w:t xml:space="preserve">above </w:t>
      </w:r>
      <w:r w:rsidRPr="00283BED">
        <w:rPr>
          <w:color w:val="000000"/>
          <w:sz w:val="22"/>
          <w:szCs w:val="22"/>
        </w:rPr>
        <w:t xml:space="preserve">$10 million </w:t>
      </w:r>
      <w:r w:rsidR="00975233">
        <w:rPr>
          <w:color w:val="000000"/>
          <w:sz w:val="22"/>
          <w:szCs w:val="22"/>
        </w:rPr>
        <w:t xml:space="preserve">    </w:t>
      </w:r>
      <w:r w:rsidR="00D67967">
        <w:rPr>
          <w:color w:val="000000"/>
          <w:sz w:val="22"/>
          <w:szCs w:val="22"/>
        </w:rPr>
        <w:tab/>
      </w:r>
      <w:r w:rsidR="00585087">
        <w:rPr>
          <w:color w:val="000000"/>
          <w:sz w:val="22"/>
          <w:szCs w:val="22"/>
        </w:rPr>
        <w:t xml:space="preserve">       </w:t>
      </w:r>
      <w:r w:rsidR="00D67967">
        <w:rPr>
          <w:sz w:val="22"/>
          <w:szCs w:val="22"/>
        </w:rPr>
        <w:t>___</w:t>
      </w:r>
      <w:r w:rsidR="006D0AB6" w:rsidRPr="00D67967">
        <w:rPr>
          <w:noProof/>
          <w:sz w:val="20"/>
          <w:szCs w:val="20"/>
          <w:u w:val="single"/>
        </w:rPr>
        <w:t xml:space="preserve">     </w:t>
      </w:r>
      <w:r w:rsidR="00D67967" w:rsidRPr="00D67967">
        <w:rPr>
          <w:sz w:val="22"/>
          <w:szCs w:val="22"/>
          <w:u w:val="single"/>
        </w:rPr>
        <w:t>_</w:t>
      </w:r>
      <w:r w:rsidR="00D67967">
        <w:rPr>
          <w:sz w:val="22"/>
          <w:szCs w:val="22"/>
        </w:rPr>
        <w:t>_______</w:t>
      </w:r>
      <w:r w:rsidR="00975233">
        <w:rPr>
          <w:color w:val="000000"/>
          <w:sz w:val="22"/>
          <w:szCs w:val="22"/>
        </w:rPr>
        <w:t xml:space="preserve">   </w:t>
      </w:r>
      <w:r w:rsidR="00585087">
        <w:rPr>
          <w:color w:val="000000"/>
          <w:sz w:val="22"/>
          <w:szCs w:val="22"/>
        </w:rPr>
        <w:t xml:space="preserve">   </w:t>
      </w:r>
      <w:r w:rsidR="00585087" w:rsidRPr="00585087">
        <w:rPr>
          <w:color w:val="000000"/>
          <w:sz w:val="22"/>
          <w:szCs w:val="22"/>
        </w:rPr>
        <w:t>___</w:t>
      </w:r>
      <w:r w:rsidR="006D0AB6" w:rsidRPr="00585087">
        <w:rPr>
          <w:noProof/>
          <w:color w:val="000000"/>
          <w:sz w:val="22"/>
          <w:szCs w:val="22"/>
          <w:u w:val="single"/>
        </w:rPr>
        <w:t xml:space="preserve">     </w:t>
      </w:r>
      <w:r w:rsidR="00585087" w:rsidRPr="00585087">
        <w:rPr>
          <w:color w:val="000000"/>
          <w:sz w:val="22"/>
          <w:szCs w:val="22"/>
          <w:u w:val="single"/>
        </w:rPr>
        <w:t>_</w:t>
      </w:r>
      <w:r w:rsidR="00585087" w:rsidRPr="00585087">
        <w:rPr>
          <w:color w:val="000000"/>
          <w:sz w:val="22"/>
          <w:szCs w:val="22"/>
        </w:rPr>
        <w:t>____</w:t>
      </w:r>
    </w:p>
    <w:p w14:paraId="251BD2EA" w14:textId="77777777" w:rsidR="00181537" w:rsidRDefault="00181537" w:rsidP="00AE49B5">
      <w:pPr>
        <w:pStyle w:val="Footer"/>
        <w:rPr>
          <w:b/>
          <w:caps/>
          <w:sz w:val="22"/>
          <w:szCs w:val="22"/>
          <w:u w:val="single"/>
        </w:rPr>
      </w:pPr>
    </w:p>
    <w:p w14:paraId="3777263D" w14:textId="77777777" w:rsidR="006F3B05" w:rsidRDefault="00C66795" w:rsidP="00870816">
      <w:pPr>
        <w:pStyle w:val="Footer"/>
        <w:spacing w:after="120"/>
        <w:rPr>
          <w:b/>
          <w:caps/>
          <w:color w:val="00B0F0"/>
          <w:sz w:val="22"/>
          <w:szCs w:val="22"/>
          <w:u w:val="single"/>
        </w:rPr>
      </w:pPr>
      <w:r>
        <w:rPr>
          <w:b/>
          <w:caps/>
          <w:color w:val="00B0F0"/>
          <w:sz w:val="22"/>
          <w:szCs w:val="22"/>
          <w:u w:val="single"/>
        </w:rPr>
        <w:br w:type="page"/>
      </w:r>
    </w:p>
    <w:p w14:paraId="7102B3B8" w14:textId="77777777" w:rsidR="00AE49B5" w:rsidRDefault="00AE49B5" w:rsidP="00870816">
      <w:pPr>
        <w:pStyle w:val="Footer"/>
        <w:spacing w:after="120"/>
        <w:rPr>
          <w:b/>
          <w:caps/>
          <w:color w:val="00B0F0"/>
          <w:sz w:val="22"/>
          <w:szCs w:val="22"/>
          <w:u w:val="single"/>
        </w:rPr>
      </w:pPr>
      <w:r w:rsidRPr="00661A08">
        <w:rPr>
          <w:b/>
          <w:caps/>
          <w:color w:val="00B0F0"/>
          <w:sz w:val="22"/>
          <w:szCs w:val="22"/>
          <w:u w:val="single"/>
        </w:rPr>
        <w:lastRenderedPageBreak/>
        <w:t>part ii:  project JustiFication</w:t>
      </w:r>
      <w:r w:rsidR="00F01B20">
        <w:rPr>
          <w:rStyle w:val="FootnoteReference"/>
          <w:b/>
          <w:caps/>
          <w:color w:val="00B0F0"/>
          <w:sz w:val="22"/>
          <w:szCs w:val="22"/>
          <w:u w:val="single"/>
        </w:rPr>
        <w:footnoteReference w:id="8"/>
      </w:r>
    </w:p>
    <w:p w14:paraId="0FB59794" w14:textId="77777777" w:rsidR="00870816" w:rsidRDefault="00870816" w:rsidP="006D0AB6">
      <w:pPr>
        <w:pStyle w:val="ColorfulList-Accent11"/>
        <w:spacing w:after="0" w:line="240" w:lineRule="auto"/>
        <w:ind w:left="0" w:firstLine="0"/>
      </w:pPr>
      <w:r>
        <w:rPr>
          <w:b/>
          <w:smallCaps/>
          <w:szCs w:val="22"/>
        </w:rPr>
        <w:t>Project Overview</w:t>
      </w:r>
      <w:r w:rsidRPr="007E3AFB">
        <w:rPr>
          <w:b/>
          <w:smallCaps/>
          <w:szCs w:val="22"/>
        </w:rPr>
        <w:br/>
      </w:r>
      <w:r w:rsidR="00F91DD9" w:rsidRPr="00F91DD9">
        <w:rPr>
          <w:szCs w:val="22"/>
        </w:rPr>
        <w:t xml:space="preserve">A.1. </w:t>
      </w:r>
      <w:r w:rsidR="00616D13">
        <w:rPr>
          <w:szCs w:val="22"/>
        </w:rPr>
        <w:t xml:space="preserve">Project Description. </w:t>
      </w:r>
      <w:r w:rsidR="00693747" w:rsidRPr="00301BC0">
        <w:t>Briefly describe the project, including ; 1) the global environmental problems, root causes and barriers that need to be addressed; 2) the baseline scenario and any associated baseline projects, 3) the proposed alternative scenario, with a brief description of expected outcomes and components of the project, 4) incremental cost reasoning and expected contributions from the baseline , the GEFTF, LDCF/SCCF and co-financing; 5) global environmental benefits (GEFTF, NPIF) and adaptation benefits (LDCF/SCCF); 6) innovativeness, sustainability and potential for scaling up</w:t>
      </w:r>
    </w:p>
    <w:p w14:paraId="4484B473" w14:textId="77777777" w:rsidR="006D0AB6" w:rsidRPr="00693747" w:rsidRDefault="006D0AB6" w:rsidP="006D0AB6">
      <w:pPr>
        <w:pStyle w:val="ColorfulList-Accent11"/>
        <w:numPr>
          <w:ilvl w:val="0"/>
          <w:numId w:val="0"/>
        </w:numPr>
        <w:spacing w:after="0"/>
      </w:pPr>
    </w:p>
    <w:tbl>
      <w:tblPr>
        <w:tblW w:w="9180" w:type="dxa"/>
        <w:tblLook w:val="04A0" w:firstRow="1" w:lastRow="0" w:firstColumn="1" w:lastColumn="0" w:noHBand="0" w:noVBand="1"/>
      </w:tblPr>
      <w:tblGrid>
        <w:gridCol w:w="9576"/>
      </w:tblGrid>
      <w:tr w:rsidR="00870816" w:rsidRPr="003E7EE1" w14:paraId="323EE16F" w14:textId="77777777" w:rsidTr="00181E18">
        <w:tc>
          <w:tcPr>
            <w:tcW w:w="9180" w:type="dxa"/>
          </w:tcPr>
          <w:p w14:paraId="320B75A5" w14:textId="77777777" w:rsidR="006D0AB6" w:rsidRPr="006D0AB6" w:rsidRDefault="006D0AB6" w:rsidP="00A324D9">
            <w:pPr>
              <w:spacing w:after="80"/>
              <w:outlineLvl w:val="0"/>
              <w:rPr>
                <w:noProof/>
                <w:sz w:val="22"/>
                <w:szCs w:val="22"/>
                <w:u w:val="single"/>
              </w:rPr>
            </w:pPr>
            <w:bookmarkStart w:id="54" w:name="baselineProj"/>
            <w:r w:rsidRPr="006D0AB6">
              <w:rPr>
                <w:sz w:val="22"/>
                <w:szCs w:val="22"/>
                <w:u w:val="single"/>
              </w:rPr>
              <w:t>1) Global environmental problems, root causes and barriers that need to be addressed</w:t>
            </w:r>
          </w:p>
          <w:p w14:paraId="7CAD1AEC" w14:textId="77777777" w:rsidR="00A324D9" w:rsidRPr="006D0AB6" w:rsidRDefault="00A324D9" w:rsidP="00A324D9">
            <w:pPr>
              <w:spacing w:after="80"/>
              <w:outlineLvl w:val="0"/>
              <w:rPr>
                <w:b/>
                <w:noProof/>
                <w:sz w:val="22"/>
                <w:szCs w:val="22"/>
              </w:rPr>
            </w:pPr>
            <w:r w:rsidRPr="006D0AB6">
              <w:rPr>
                <w:b/>
                <w:noProof/>
                <w:sz w:val="22"/>
                <w:szCs w:val="22"/>
              </w:rPr>
              <w:t>International Context of Nationally Appropriate Mitigation Actions (NAMAs)</w:t>
            </w:r>
          </w:p>
          <w:p w14:paraId="17EEC3BA" w14:textId="77777777" w:rsidR="00A324D9" w:rsidRPr="00A324D9" w:rsidRDefault="00A324D9" w:rsidP="00A324D9">
            <w:pPr>
              <w:spacing w:after="80"/>
              <w:outlineLvl w:val="0"/>
              <w:rPr>
                <w:noProof/>
                <w:sz w:val="22"/>
                <w:szCs w:val="22"/>
              </w:rPr>
            </w:pPr>
            <w:r w:rsidRPr="00A324D9">
              <w:rPr>
                <w:noProof/>
                <w:sz w:val="22"/>
                <w:szCs w:val="22"/>
              </w:rPr>
              <w:t xml:space="preserve">The concept of </w:t>
            </w:r>
            <w:r w:rsidR="005A1C13">
              <w:rPr>
                <w:noProof/>
                <w:sz w:val="22"/>
                <w:szCs w:val="22"/>
              </w:rPr>
              <w:t>NAMA</w:t>
            </w:r>
            <w:r w:rsidR="00617D30">
              <w:rPr>
                <w:noProof/>
                <w:sz w:val="22"/>
                <w:szCs w:val="22"/>
              </w:rPr>
              <w:t>s</w:t>
            </w:r>
            <w:r w:rsidRPr="00A324D9">
              <w:rPr>
                <w:noProof/>
                <w:sz w:val="22"/>
                <w:szCs w:val="22"/>
              </w:rPr>
              <w:t xml:space="preserve"> was introduced in the Bali Action Plan in 2007 (Decision 1 CP/13). The parties to the UNFCCC called for “Enhanced national/international action o</w:t>
            </w:r>
            <w:r w:rsidR="005A1C13">
              <w:rPr>
                <w:noProof/>
                <w:sz w:val="22"/>
                <w:szCs w:val="22"/>
              </w:rPr>
              <w:t>n mitigation of climate change”</w:t>
            </w:r>
            <w:r w:rsidRPr="00A324D9">
              <w:rPr>
                <w:noProof/>
                <w:sz w:val="22"/>
                <w:szCs w:val="22"/>
              </w:rPr>
              <w:t>.</w:t>
            </w:r>
            <w:r w:rsidR="005A1C13">
              <w:rPr>
                <w:noProof/>
                <w:sz w:val="22"/>
                <w:szCs w:val="22"/>
              </w:rPr>
              <w:t xml:space="preserve"> </w:t>
            </w:r>
            <w:r w:rsidRPr="00A324D9">
              <w:rPr>
                <w:noProof/>
                <w:sz w:val="22"/>
                <w:szCs w:val="22"/>
              </w:rPr>
              <w:t xml:space="preserve">In the Cancun Agreements reached on December 11 2010, the Parties further agreed that “developing country Parties will take nationally appropriate mitigation actions in the context of sustainable development, supported and enabled by technology, financing and capacity-building, aimed at achieving a deviation in emissions relative to ‘business as usual’ emissions in 2020.” The Cancun Agreements also differentiate between NAMAs that are domestically supported and internationally supported, specifying that both are subject to being measured, reported and verified domestically but that the latter, will be subject to international measurement, reporting and verification (MRV). Finally, there is an unequivocal agreement that private sector is the largest source of investment flows </w:t>
            </w:r>
            <w:r w:rsidR="005A1C13">
              <w:rPr>
                <w:noProof/>
                <w:sz w:val="22"/>
                <w:szCs w:val="22"/>
              </w:rPr>
              <w:t>for</w:t>
            </w:r>
            <w:r w:rsidRPr="00A324D9">
              <w:rPr>
                <w:noProof/>
                <w:sz w:val="22"/>
                <w:szCs w:val="22"/>
              </w:rPr>
              <w:t xml:space="preserve"> low-car</w:t>
            </w:r>
            <w:r w:rsidR="005A1C13">
              <w:rPr>
                <w:noProof/>
                <w:sz w:val="22"/>
                <w:szCs w:val="22"/>
              </w:rPr>
              <w:t xml:space="preserve">bon technologies and, therefore, </w:t>
            </w:r>
            <w:r w:rsidRPr="00A324D9">
              <w:rPr>
                <w:noProof/>
                <w:sz w:val="22"/>
                <w:szCs w:val="22"/>
              </w:rPr>
              <w:t>ha</w:t>
            </w:r>
            <w:r w:rsidR="005A1C13">
              <w:rPr>
                <w:noProof/>
                <w:sz w:val="22"/>
                <w:szCs w:val="22"/>
              </w:rPr>
              <w:t>s</w:t>
            </w:r>
            <w:r w:rsidRPr="00A324D9">
              <w:rPr>
                <w:noProof/>
                <w:sz w:val="22"/>
                <w:szCs w:val="22"/>
              </w:rPr>
              <w:t xml:space="preserve"> to play a major role in the design and implementation of NAMAs.  </w:t>
            </w:r>
          </w:p>
          <w:p w14:paraId="3DD770F1" w14:textId="77777777" w:rsidR="00A324D9" w:rsidRPr="006D0AB6" w:rsidRDefault="00A324D9" w:rsidP="00A324D9">
            <w:pPr>
              <w:spacing w:after="80"/>
              <w:outlineLvl w:val="0"/>
              <w:rPr>
                <w:b/>
                <w:noProof/>
                <w:sz w:val="22"/>
                <w:szCs w:val="22"/>
              </w:rPr>
            </w:pPr>
            <w:r w:rsidRPr="006D0AB6">
              <w:rPr>
                <w:b/>
                <w:noProof/>
                <w:sz w:val="22"/>
                <w:szCs w:val="22"/>
              </w:rPr>
              <w:t xml:space="preserve">Azerbaijan’s oil&amp;gas </w:t>
            </w:r>
            <w:r w:rsidR="000F3B43">
              <w:rPr>
                <w:b/>
                <w:noProof/>
                <w:sz w:val="22"/>
                <w:szCs w:val="22"/>
              </w:rPr>
              <w:t xml:space="preserve">sector, </w:t>
            </w:r>
            <w:r w:rsidRPr="006D0AB6">
              <w:rPr>
                <w:b/>
                <w:noProof/>
                <w:sz w:val="22"/>
                <w:szCs w:val="22"/>
              </w:rPr>
              <w:t>GHG emissions and climate change mitigation targets</w:t>
            </w:r>
          </w:p>
          <w:p w14:paraId="0D149423" w14:textId="3213503C" w:rsidR="000C086B" w:rsidRDefault="00D156F1" w:rsidP="00A324D9">
            <w:pPr>
              <w:spacing w:after="80"/>
              <w:outlineLvl w:val="0"/>
              <w:rPr>
                <w:noProof/>
                <w:sz w:val="22"/>
                <w:szCs w:val="22"/>
              </w:rPr>
            </w:pPr>
            <w:r w:rsidRPr="00D156F1">
              <w:rPr>
                <w:sz w:val="22"/>
                <w:szCs w:val="22"/>
              </w:rPr>
              <w:t xml:space="preserve">Azerbaijan is a fast developing, oil and gas oriented economy. </w:t>
            </w:r>
            <w:r w:rsidR="0081774E" w:rsidRPr="0081774E">
              <w:rPr>
                <w:sz w:val="22"/>
                <w:szCs w:val="22"/>
                <w:highlight w:val="yellow"/>
              </w:rPr>
              <w:t>According to 2</w:t>
            </w:r>
            <w:r w:rsidR="0081774E" w:rsidRPr="0081774E">
              <w:rPr>
                <w:sz w:val="22"/>
                <w:szCs w:val="22"/>
                <w:highlight w:val="yellow"/>
                <w:vertAlign w:val="superscript"/>
              </w:rPr>
              <w:t>nd</w:t>
            </w:r>
            <w:r w:rsidR="0081774E" w:rsidRPr="0081774E">
              <w:rPr>
                <w:sz w:val="22"/>
                <w:szCs w:val="22"/>
                <w:highlight w:val="yellow"/>
              </w:rPr>
              <w:t xml:space="preserve"> National Communication to UNFCCC, </w:t>
            </w:r>
            <w:r w:rsidR="000A5CDA" w:rsidRPr="0081774E">
              <w:rPr>
                <w:noProof/>
                <w:sz w:val="22"/>
                <w:szCs w:val="22"/>
                <w:highlight w:val="yellow"/>
              </w:rPr>
              <w:t xml:space="preserve">Azerbaijan’s annual GHG emissions were </w:t>
            </w:r>
            <w:r w:rsidR="0081774E" w:rsidRPr="0081774E">
              <w:rPr>
                <w:noProof/>
                <w:sz w:val="22"/>
                <w:szCs w:val="22"/>
                <w:highlight w:val="yellow"/>
              </w:rPr>
              <w:t>50</w:t>
            </w:r>
            <w:r w:rsidR="000A5CDA" w:rsidRPr="0081774E">
              <w:rPr>
                <w:noProof/>
                <w:sz w:val="22"/>
                <w:szCs w:val="22"/>
                <w:highlight w:val="yellow"/>
              </w:rPr>
              <w:t>.6 mln tCO</w:t>
            </w:r>
            <w:r w:rsidR="000A5CDA" w:rsidRPr="0081774E">
              <w:rPr>
                <w:noProof/>
                <w:sz w:val="22"/>
                <w:szCs w:val="22"/>
                <w:highlight w:val="yellow"/>
                <w:vertAlign w:val="subscript"/>
              </w:rPr>
              <w:t>2e</w:t>
            </w:r>
            <w:r w:rsidR="000A5CDA" w:rsidRPr="0081774E">
              <w:rPr>
                <w:noProof/>
                <w:sz w:val="22"/>
                <w:szCs w:val="22"/>
                <w:highlight w:val="yellow"/>
              </w:rPr>
              <w:t xml:space="preserve">/year in 2005 with </w:t>
            </w:r>
            <w:r w:rsidR="00617D30" w:rsidRPr="0081774E">
              <w:rPr>
                <w:noProof/>
                <w:sz w:val="22"/>
                <w:szCs w:val="22"/>
                <w:highlight w:val="yellow"/>
              </w:rPr>
              <w:t xml:space="preserve">the </w:t>
            </w:r>
            <w:r w:rsidR="000A5CDA" w:rsidRPr="0081774E">
              <w:rPr>
                <w:noProof/>
                <w:sz w:val="22"/>
                <w:szCs w:val="22"/>
                <w:highlight w:val="yellow"/>
              </w:rPr>
              <w:t xml:space="preserve">energy sector (i.e. </w:t>
            </w:r>
            <w:r w:rsidR="00EE64B2" w:rsidRPr="0081774E">
              <w:rPr>
                <w:noProof/>
                <w:sz w:val="22"/>
                <w:szCs w:val="22"/>
                <w:highlight w:val="yellow"/>
              </w:rPr>
              <w:t>combustion of</w:t>
            </w:r>
            <w:r w:rsidR="000A5CDA" w:rsidRPr="0081774E">
              <w:rPr>
                <w:noProof/>
                <w:sz w:val="22"/>
                <w:szCs w:val="22"/>
                <w:highlight w:val="yellow"/>
              </w:rPr>
              <w:t xml:space="preserve"> oil&amp;gas) accounting for the largest share of domestic emissions, </w:t>
            </w:r>
            <w:r w:rsidR="00EE64B2" w:rsidRPr="0081774E">
              <w:rPr>
                <w:noProof/>
                <w:sz w:val="22"/>
                <w:szCs w:val="22"/>
                <w:highlight w:val="yellow"/>
              </w:rPr>
              <w:t>more than 50</w:t>
            </w:r>
            <w:r w:rsidR="000A5CDA" w:rsidRPr="0081774E">
              <w:rPr>
                <w:noProof/>
                <w:sz w:val="22"/>
                <w:szCs w:val="22"/>
                <w:highlight w:val="yellow"/>
              </w:rPr>
              <w:t>%</w:t>
            </w:r>
            <w:r w:rsidR="00EE64B2" w:rsidRPr="0081774E">
              <w:rPr>
                <w:noProof/>
                <w:sz w:val="22"/>
                <w:szCs w:val="22"/>
                <w:highlight w:val="yellow"/>
              </w:rPr>
              <w:t xml:space="preserve"> or 3</w:t>
            </w:r>
            <w:r w:rsidR="0081774E">
              <w:rPr>
                <w:noProof/>
                <w:sz w:val="22"/>
                <w:szCs w:val="22"/>
                <w:highlight w:val="yellow"/>
              </w:rPr>
              <w:t>1</w:t>
            </w:r>
            <w:r w:rsidR="00EE64B2" w:rsidRPr="0081774E">
              <w:rPr>
                <w:noProof/>
                <w:sz w:val="22"/>
                <w:szCs w:val="22"/>
                <w:highlight w:val="yellow"/>
              </w:rPr>
              <w:t>.</w:t>
            </w:r>
            <w:r w:rsidR="0081774E">
              <w:rPr>
                <w:noProof/>
                <w:sz w:val="22"/>
                <w:szCs w:val="22"/>
                <w:highlight w:val="yellow"/>
              </w:rPr>
              <w:t>3</w:t>
            </w:r>
            <w:r w:rsidR="00EE64B2" w:rsidRPr="0081774E">
              <w:rPr>
                <w:noProof/>
                <w:sz w:val="22"/>
                <w:szCs w:val="22"/>
                <w:highlight w:val="yellow"/>
              </w:rPr>
              <w:t xml:space="preserve"> mln tCO</w:t>
            </w:r>
            <w:r w:rsidR="00EE64B2" w:rsidRPr="0081774E">
              <w:rPr>
                <w:noProof/>
                <w:sz w:val="22"/>
                <w:szCs w:val="22"/>
                <w:highlight w:val="yellow"/>
                <w:vertAlign w:val="subscript"/>
              </w:rPr>
              <w:t>2</w:t>
            </w:r>
            <w:r w:rsidR="000A5CDA" w:rsidRPr="0081774E">
              <w:rPr>
                <w:noProof/>
                <w:sz w:val="22"/>
                <w:szCs w:val="22"/>
                <w:highlight w:val="yellow"/>
              </w:rPr>
              <w:t>.</w:t>
            </w:r>
            <w:r w:rsidR="000A5CDA" w:rsidRPr="00A324D9">
              <w:rPr>
                <w:noProof/>
                <w:sz w:val="22"/>
                <w:szCs w:val="22"/>
              </w:rPr>
              <w:t xml:space="preserve"> </w:t>
            </w:r>
            <w:r w:rsidR="000A5CDA">
              <w:rPr>
                <w:noProof/>
                <w:sz w:val="22"/>
                <w:szCs w:val="22"/>
              </w:rPr>
              <w:t xml:space="preserve">National </w:t>
            </w:r>
            <w:r w:rsidR="00A324D9" w:rsidRPr="00A324D9">
              <w:rPr>
                <w:noProof/>
                <w:sz w:val="22"/>
                <w:szCs w:val="22"/>
              </w:rPr>
              <w:t xml:space="preserve">annual consumption of oil and gas is </w:t>
            </w:r>
            <w:r w:rsidR="000A5CDA">
              <w:rPr>
                <w:noProof/>
                <w:sz w:val="22"/>
                <w:szCs w:val="22"/>
              </w:rPr>
              <w:t xml:space="preserve">now at </w:t>
            </w:r>
            <w:r w:rsidR="00A324D9" w:rsidRPr="00A324D9">
              <w:rPr>
                <w:noProof/>
                <w:sz w:val="22"/>
                <w:szCs w:val="22"/>
              </w:rPr>
              <w:t xml:space="preserve">about 5.2 mln toe, with </w:t>
            </w:r>
            <w:r w:rsidR="00617D30">
              <w:rPr>
                <w:noProof/>
                <w:sz w:val="22"/>
                <w:szCs w:val="22"/>
              </w:rPr>
              <w:t xml:space="preserve">the </w:t>
            </w:r>
            <w:r w:rsidR="00A324D9" w:rsidRPr="00A324D9">
              <w:rPr>
                <w:noProof/>
                <w:sz w:val="22"/>
                <w:szCs w:val="22"/>
              </w:rPr>
              <w:t xml:space="preserve">residential and transport sectors together accounting for over 90% </w:t>
            </w:r>
            <w:r w:rsidR="000A5CDA">
              <w:rPr>
                <w:noProof/>
                <w:sz w:val="22"/>
                <w:szCs w:val="22"/>
              </w:rPr>
              <w:t xml:space="preserve">of end-use </w:t>
            </w:r>
            <w:r w:rsidR="00A324D9" w:rsidRPr="00A324D9">
              <w:rPr>
                <w:noProof/>
                <w:sz w:val="22"/>
                <w:szCs w:val="22"/>
              </w:rPr>
              <w:t xml:space="preserve">(See Table 1). </w:t>
            </w:r>
            <w:r w:rsidR="005A1C13">
              <w:rPr>
                <w:noProof/>
                <w:sz w:val="22"/>
                <w:szCs w:val="22"/>
              </w:rPr>
              <w:t xml:space="preserve">Azerbaijan’s energy intensity </w:t>
            </w:r>
            <w:r w:rsidR="000C086B">
              <w:rPr>
                <w:noProof/>
                <w:sz w:val="22"/>
                <w:szCs w:val="22"/>
              </w:rPr>
              <w:t xml:space="preserve">(0.71toe/US$) </w:t>
            </w:r>
            <w:r w:rsidR="005A1C13">
              <w:rPr>
                <w:noProof/>
                <w:sz w:val="22"/>
                <w:szCs w:val="22"/>
              </w:rPr>
              <w:t xml:space="preserve">is </w:t>
            </w:r>
            <w:r w:rsidR="000C086B">
              <w:rPr>
                <w:noProof/>
                <w:sz w:val="22"/>
                <w:szCs w:val="22"/>
              </w:rPr>
              <w:t xml:space="preserve">twice as high as the world’s average (0.3 toe/US$) and nearly 4 times above </w:t>
            </w:r>
            <w:r w:rsidR="00125F28">
              <w:rPr>
                <w:noProof/>
                <w:sz w:val="22"/>
                <w:szCs w:val="22"/>
              </w:rPr>
              <w:t>the level of energy intensity i</w:t>
            </w:r>
            <w:r w:rsidR="000C086B">
              <w:rPr>
                <w:noProof/>
                <w:sz w:val="22"/>
                <w:szCs w:val="22"/>
              </w:rPr>
              <w:t>n OECD countri</w:t>
            </w:r>
            <w:r w:rsidR="00617D30">
              <w:rPr>
                <w:noProof/>
                <w:sz w:val="22"/>
                <w:szCs w:val="22"/>
              </w:rPr>
              <w:t>e</w:t>
            </w:r>
            <w:r w:rsidR="000C086B">
              <w:rPr>
                <w:noProof/>
                <w:sz w:val="22"/>
                <w:szCs w:val="22"/>
              </w:rPr>
              <w:t xml:space="preserve">s (0.18 toe/US$). </w:t>
            </w:r>
            <w:r w:rsidR="00A324D9" w:rsidRPr="00A324D9">
              <w:rPr>
                <w:noProof/>
                <w:sz w:val="22"/>
                <w:szCs w:val="22"/>
              </w:rPr>
              <w:t xml:space="preserve">There </w:t>
            </w:r>
            <w:r w:rsidR="00125F28">
              <w:rPr>
                <w:noProof/>
                <w:sz w:val="22"/>
                <w:szCs w:val="22"/>
              </w:rPr>
              <w:t>exist</w:t>
            </w:r>
            <w:r w:rsidR="00A324D9" w:rsidRPr="00A324D9">
              <w:rPr>
                <w:noProof/>
                <w:sz w:val="22"/>
                <w:szCs w:val="22"/>
              </w:rPr>
              <w:t>s</w:t>
            </w:r>
            <w:r w:rsidR="00125F28">
              <w:rPr>
                <w:noProof/>
                <w:sz w:val="22"/>
                <w:szCs w:val="22"/>
              </w:rPr>
              <w:t>,</w:t>
            </w:r>
            <w:r w:rsidR="00A324D9" w:rsidRPr="00A324D9">
              <w:rPr>
                <w:noProof/>
                <w:sz w:val="22"/>
                <w:szCs w:val="22"/>
              </w:rPr>
              <w:t xml:space="preserve"> </w:t>
            </w:r>
            <w:r w:rsidR="000C086B">
              <w:rPr>
                <w:noProof/>
                <w:sz w:val="22"/>
                <w:szCs w:val="22"/>
              </w:rPr>
              <w:t>therefore</w:t>
            </w:r>
            <w:r w:rsidR="00125F28">
              <w:rPr>
                <w:noProof/>
                <w:sz w:val="22"/>
                <w:szCs w:val="22"/>
              </w:rPr>
              <w:t>,</w:t>
            </w:r>
            <w:r w:rsidR="000C086B">
              <w:rPr>
                <w:noProof/>
                <w:sz w:val="22"/>
                <w:szCs w:val="22"/>
              </w:rPr>
              <w:t xml:space="preserve"> a </w:t>
            </w:r>
            <w:r w:rsidR="00A324D9" w:rsidRPr="00A324D9">
              <w:rPr>
                <w:noProof/>
                <w:sz w:val="22"/>
                <w:szCs w:val="22"/>
              </w:rPr>
              <w:t xml:space="preserve">significant potential to increase </w:t>
            </w:r>
            <w:r w:rsidR="00125F28">
              <w:rPr>
                <w:noProof/>
                <w:sz w:val="22"/>
                <w:szCs w:val="22"/>
              </w:rPr>
              <w:t xml:space="preserve">efficiency of oil&amp;gas use </w:t>
            </w:r>
            <w:r w:rsidR="00A324D9" w:rsidRPr="00A324D9">
              <w:rPr>
                <w:noProof/>
                <w:sz w:val="22"/>
                <w:szCs w:val="22"/>
              </w:rPr>
              <w:t xml:space="preserve">and </w:t>
            </w:r>
            <w:r w:rsidR="00125F28">
              <w:rPr>
                <w:noProof/>
                <w:sz w:val="22"/>
                <w:szCs w:val="22"/>
              </w:rPr>
              <w:t xml:space="preserve">reduce </w:t>
            </w:r>
            <w:r w:rsidR="00617D30">
              <w:rPr>
                <w:noProof/>
                <w:sz w:val="22"/>
                <w:szCs w:val="22"/>
              </w:rPr>
              <w:t xml:space="preserve">the </w:t>
            </w:r>
            <w:r w:rsidR="00125F28">
              <w:rPr>
                <w:noProof/>
                <w:sz w:val="22"/>
                <w:szCs w:val="22"/>
              </w:rPr>
              <w:t>country’s</w:t>
            </w:r>
            <w:r w:rsidR="000F3B43">
              <w:rPr>
                <w:noProof/>
                <w:sz w:val="22"/>
                <w:szCs w:val="22"/>
              </w:rPr>
              <w:t xml:space="preserve"> GHG emissions. </w:t>
            </w:r>
          </w:p>
          <w:p w14:paraId="6983BA3C" w14:textId="77777777" w:rsidR="00125F28" w:rsidRDefault="00125F28" w:rsidP="00A324D9">
            <w:pPr>
              <w:spacing w:after="80"/>
              <w:outlineLvl w:val="0"/>
              <w:rPr>
                <w:noProof/>
                <w:sz w:val="22"/>
                <w:szCs w:val="22"/>
              </w:rPr>
            </w:pPr>
          </w:p>
          <w:p w14:paraId="7D8C807C" w14:textId="77777777" w:rsidR="00A324D9" w:rsidRPr="00A324D9" w:rsidRDefault="00A324D9" w:rsidP="00A324D9">
            <w:pPr>
              <w:spacing w:after="80"/>
              <w:outlineLvl w:val="0"/>
              <w:rPr>
                <w:noProof/>
                <w:sz w:val="22"/>
                <w:szCs w:val="22"/>
              </w:rPr>
            </w:pPr>
            <w:r w:rsidRPr="00A324D9">
              <w:rPr>
                <w:noProof/>
                <w:sz w:val="22"/>
                <w:szCs w:val="22"/>
              </w:rPr>
              <w:t>Table 1: Azerbaijan’s Total Final Oil&amp;Gas Use, toe</w:t>
            </w:r>
          </w:p>
          <w:p w14:paraId="122A1C72" w14:textId="77777777" w:rsidR="00A324D9" w:rsidRPr="00D156F1" w:rsidRDefault="00A324D9" w:rsidP="00181E18">
            <w:pPr>
              <w:pBdr>
                <w:top w:val="single" w:sz="4" w:space="1" w:color="auto"/>
                <w:bottom w:val="single" w:sz="4" w:space="1" w:color="auto"/>
                <w:right w:val="single" w:sz="4" w:space="4" w:color="auto"/>
                <w:between w:val="single" w:sz="4" w:space="1" w:color="auto"/>
                <w:bar w:val="single" w:sz="4" w:color="auto"/>
              </w:pBdr>
              <w:spacing w:after="80"/>
              <w:outlineLvl w:val="0"/>
              <w:rPr>
                <w:noProof/>
                <w:sz w:val="20"/>
                <w:szCs w:val="20"/>
              </w:rPr>
            </w:pPr>
            <w:r w:rsidRPr="00A324D9">
              <w:rPr>
                <w:noProof/>
                <w:sz w:val="22"/>
                <w:szCs w:val="22"/>
              </w:rPr>
              <w:t xml:space="preserve"> </w:t>
            </w:r>
            <w:r w:rsidRPr="00A324D9">
              <w:rPr>
                <w:noProof/>
                <w:sz w:val="22"/>
                <w:szCs w:val="22"/>
              </w:rPr>
              <w:tab/>
            </w:r>
            <w:r w:rsidRPr="00D156F1">
              <w:rPr>
                <w:noProof/>
                <w:sz w:val="20"/>
                <w:szCs w:val="20"/>
              </w:rPr>
              <w:t>Coal and Peat</w:t>
            </w:r>
            <w:r w:rsidRPr="00D156F1">
              <w:rPr>
                <w:noProof/>
                <w:sz w:val="20"/>
                <w:szCs w:val="20"/>
              </w:rPr>
              <w:tab/>
              <w:t>Oil Products</w:t>
            </w:r>
            <w:r w:rsidRPr="00D156F1">
              <w:rPr>
                <w:noProof/>
                <w:sz w:val="20"/>
                <w:szCs w:val="20"/>
              </w:rPr>
              <w:tab/>
              <w:t>Natural Gas</w:t>
            </w:r>
            <w:r w:rsidRPr="00D156F1">
              <w:rPr>
                <w:noProof/>
                <w:sz w:val="20"/>
                <w:szCs w:val="20"/>
              </w:rPr>
              <w:tab/>
              <w:t>TOTAL</w:t>
            </w:r>
          </w:p>
          <w:p w14:paraId="7491FD94" w14:textId="77777777" w:rsidR="00A324D9" w:rsidRPr="00D156F1" w:rsidRDefault="00181E18" w:rsidP="00181E18">
            <w:pPr>
              <w:pBdr>
                <w:top w:val="single" w:sz="4" w:space="1" w:color="auto"/>
                <w:bottom w:val="single" w:sz="4" w:space="1" w:color="auto"/>
                <w:right w:val="single" w:sz="4" w:space="4" w:color="auto"/>
                <w:between w:val="single" w:sz="4" w:space="1" w:color="auto"/>
                <w:bar w:val="single" w:sz="4" w:color="auto"/>
              </w:pBdr>
              <w:spacing w:after="80"/>
              <w:outlineLvl w:val="0"/>
              <w:rPr>
                <w:noProof/>
                <w:sz w:val="20"/>
                <w:szCs w:val="20"/>
              </w:rPr>
            </w:pPr>
            <w:r w:rsidRPr="00D156F1">
              <w:rPr>
                <w:noProof/>
                <w:sz w:val="20"/>
                <w:szCs w:val="20"/>
              </w:rPr>
              <w:t>TFC</w:t>
            </w:r>
            <w:r w:rsidR="00A324D9" w:rsidRPr="00D156F1">
              <w:rPr>
                <w:noProof/>
                <w:sz w:val="20"/>
                <w:szCs w:val="20"/>
              </w:rPr>
              <w:tab/>
            </w:r>
            <w:r w:rsidRPr="00D156F1">
              <w:rPr>
                <w:noProof/>
                <w:sz w:val="20"/>
                <w:szCs w:val="20"/>
              </w:rPr>
              <w:tab/>
            </w:r>
            <w:r w:rsidR="00A324D9" w:rsidRPr="00D156F1">
              <w:rPr>
                <w:noProof/>
                <w:sz w:val="20"/>
                <w:szCs w:val="20"/>
              </w:rPr>
              <w:t>0</w:t>
            </w:r>
            <w:r w:rsidR="00A324D9" w:rsidRPr="00D156F1">
              <w:rPr>
                <w:noProof/>
                <w:sz w:val="20"/>
                <w:szCs w:val="20"/>
              </w:rPr>
              <w:tab/>
              <w:t>2541</w:t>
            </w:r>
            <w:r w:rsidRPr="00D156F1">
              <w:rPr>
                <w:noProof/>
                <w:sz w:val="20"/>
                <w:szCs w:val="20"/>
              </w:rPr>
              <w:tab/>
            </w:r>
            <w:r w:rsidR="00A324D9" w:rsidRPr="00D156F1">
              <w:rPr>
                <w:noProof/>
                <w:sz w:val="20"/>
                <w:szCs w:val="20"/>
              </w:rPr>
              <w:tab/>
              <w:t>2678</w:t>
            </w:r>
            <w:r w:rsidR="00A324D9" w:rsidRPr="00D156F1">
              <w:rPr>
                <w:noProof/>
                <w:sz w:val="20"/>
                <w:szCs w:val="20"/>
              </w:rPr>
              <w:tab/>
            </w:r>
            <w:r w:rsidRPr="00D156F1">
              <w:rPr>
                <w:noProof/>
                <w:sz w:val="20"/>
                <w:szCs w:val="20"/>
              </w:rPr>
              <w:tab/>
            </w:r>
            <w:r w:rsidR="00A324D9" w:rsidRPr="00D156F1">
              <w:rPr>
                <w:noProof/>
                <w:sz w:val="20"/>
                <w:szCs w:val="20"/>
              </w:rPr>
              <w:t>5219</w:t>
            </w:r>
          </w:p>
          <w:p w14:paraId="1FBA1180" w14:textId="77777777" w:rsidR="00A324D9" w:rsidRPr="00D156F1" w:rsidRDefault="00A324D9" w:rsidP="00181E18">
            <w:pPr>
              <w:pBdr>
                <w:top w:val="single" w:sz="4" w:space="1" w:color="auto"/>
                <w:bottom w:val="single" w:sz="4" w:space="1" w:color="auto"/>
                <w:right w:val="single" w:sz="4" w:space="4" w:color="auto"/>
                <w:between w:val="single" w:sz="4" w:space="1" w:color="auto"/>
                <w:bar w:val="single" w:sz="4" w:color="auto"/>
              </w:pBdr>
              <w:spacing w:after="80"/>
              <w:outlineLvl w:val="0"/>
              <w:rPr>
                <w:noProof/>
                <w:sz w:val="20"/>
                <w:szCs w:val="20"/>
              </w:rPr>
            </w:pPr>
            <w:r w:rsidRPr="00D156F1">
              <w:rPr>
                <w:noProof/>
                <w:sz w:val="20"/>
                <w:szCs w:val="20"/>
              </w:rPr>
              <w:t>Industry</w:t>
            </w:r>
            <w:r w:rsidRPr="00D156F1">
              <w:rPr>
                <w:noProof/>
                <w:sz w:val="20"/>
                <w:szCs w:val="20"/>
              </w:rPr>
              <w:tab/>
            </w:r>
            <w:r w:rsidR="00D156F1">
              <w:rPr>
                <w:noProof/>
                <w:sz w:val="20"/>
                <w:szCs w:val="20"/>
              </w:rPr>
              <w:tab/>
            </w:r>
            <w:r w:rsidRPr="00D156F1">
              <w:rPr>
                <w:noProof/>
                <w:sz w:val="20"/>
                <w:szCs w:val="20"/>
              </w:rPr>
              <w:t>0</w:t>
            </w:r>
            <w:r w:rsidRPr="00D156F1">
              <w:rPr>
                <w:noProof/>
                <w:sz w:val="20"/>
                <w:szCs w:val="20"/>
              </w:rPr>
              <w:tab/>
              <w:t>106</w:t>
            </w:r>
            <w:r w:rsidRPr="00D156F1">
              <w:rPr>
                <w:noProof/>
                <w:sz w:val="20"/>
                <w:szCs w:val="20"/>
              </w:rPr>
              <w:tab/>
            </w:r>
            <w:r w:rsidR="00181E18" w:rsidRPr="00D156F1">
              <w:rPr>
                <w:noProof/>
                <w:sz w:val="20"/>
                <w:szCs w:val="20"/>
              </w:rPr>
              <w:tab/>
            </w:r>
            <w:r w:rsidRPr="00D156F1">
              <w:rPr>
                <w:noProof/>
                <w:sz w:val="20"/>
                <w:szCs w:val="20"/>
              </w:rPr>
              <w:t>273</w:t>
            </w:r>
            <w:r w:rsidRPr="00D156F1">
              <w:rPr>
                <w:noProof/>
                <w:sz w:val="20"/>
                <w:szCs w:val="20"/>
              </w:rPr>
              <w:tab/>
            </w:r>
            <w:r w:rsidR="00181E18" w:rsidRPr="00D156F1">
              <w:rPr>
                <w:noProof/>
                <w:sz w:val="20"/>
                <w:szCs w:val="20"/>
              </w:rPr>
              <w:tab/>
            </w:r>
            <w:r w:rsidRPr="00D156F1">
              <w:rPr>
                <w:noProof/>
                <w:sz w:val="20"/>
                <w:szCs w:val="20"/>
              </w:rPr>
              <w:t>379</w:t>
            </w:r>
          </w:p>
          <w:p w14:paraId="403E235B" w14:textId="77777777" w:rsidR="00A324D9" w:rsidRPr="00D156F1" w:rsidRDefault="00A324D9" w:rsidP="00181E18">
            <w:pPr>
              <w:pBdr>
                <w:top w:val="single" w:sz="4" w:space="1" w:color="auto"/>
                <w:bottom w:val="single" w:sz="4" w:space="1" w:color="auto"/>
                <w:right w:val="single" w:sz="4" w:space="4" w:color="auto"/>
                <w:between w:val="single" w:sz="4" w:space="1" w:color="auto"/>
                <w:bar w:val="single" w:sz="4" w:color="auto"/>
              </w:pBdr>
              <w:spacing w:after="80"/>
              <w:outlineLvl w:val="0"/>
              <w:rPr>
                <w:b/>
                <w:noProof/>
                <w:sz w:val="20"/>
                <w:szCs w:val="20"/>
              </w:rPr>
            </w:pPr>
            <w:r w:rsidRPr="00D156F1">
              <w:rPr>
                <w:b/>
                <w:noProof/>
                <w:sz w:val="20"/>
                <w:szCs w:val="20"/>
              </w:rPr>
              <w:t>Transport</w:t>
            </w:r>
            <w:r w:rsidRPr="00D156F1">
              <w:rPr>
                <w:b/>
                <w:noProof/>
                <w:sz w:val="20"/>
                <w:szCs w:val="20"/>
              </w:rPr>
              <w:tab/>
              <w:t>0</w:t>
            </w:r>
            <w:r w:rsidRPr="00D156F1">
              <w:rPr>
                <w:b/>
                <w:noProof/>
                <w:sz w:val="20"/>
                <w:szCs w:val="20"/>
              </w:rPr>
              <w:tab/>
              <w:t>1534</w:t>
            </w:r>
            <w:r w:rsidRPr="00D156F1">
              <w:rPr>
                <w:b/>
                <w:noProof/>
                <w:sz w:val="20"/>
                <w:szCs w:val="20"/>
              </w:rPr>
              <w:tab/>
            </w:r>
            <w:r w:rsidR="00181E18" w:rsidRPr="00D156F1">
              <w:rPr>
                <w:b/>
                <w:noProof/>
                <w:sz w:val="20"/>
                <w:szCs w:val="20"/>
              </w:rPr>
              <w:tab/>
            </w:r>
            <w:r w:rsidRPr="00D156F1">
              <w:rPr>
                <w:b/>
                <w:noProof/>
                <w:sz w:val="20"/>
                <w:szCs w:val="20"/>
              </w:rPr>
              <w:t>0</w:t>
            </w:r>
            <w:r w:rsidRPr="00D156F1">
              <w:rPr>
                <w:b/>
                <w:noProof/>
                <w:sz w:val="20"/>
                <w:szCs w:val="20"/>
              </w:rPr>
              <w:tab/>
            </w:r>
            <w:r w:rsidR="00181E18" w:rsidRPr="00D156F1">
              <w:rPr>
                <w:b/>
                <w:noProof/>
                <w:sz w:val="20"/>
                <w:szCs w:val="20"/>
              </w:rPr>
              <w:tab/>
            </w:r>
            <w:r w:rsidRPr="00D156F1">
              <w:rPr>
                <w:b/>
                <w:noProof/>
                <w:sz w:val="20"/>
                <w:szCs w:val="20"/>
              </w:rPr>
              <w:t>1534</w:t>
            </w:r>
          </w:p>
          <w:p w14:paraId="2ADF3B51" w14:textId="77777777" w:rsidR="00A324D9" w:rsidRPr="00D156F1" w:rsidRDefault="00A324D9" w:rsidP="00181E18">
            <w:pPr>
              <w:pBdr>
                <w:top w:val="single" w:sz="4" w:space="1" w:color="auto"/>
                <w:bottom w:val="single" w:sz="4" w:space="1" w:color="auto"/>
                <w:right w:val="single" w:sz="4" w:space="4" w:color="auto"/>
                <w:between w:val="single" w:sz="4" w:space="1" w:color="auto"/>
                <w:bar w:val="single" w:sz="4" w:color="auto"/>
              </w:pBdr>
              <w:spacing w:after="80"/>
              <w:outlineLvl w:val="0"/>
              <w:rPr>
                <w:b/>
                <w:noProof/>
                <w:sz w:val="20"/>
                <w:szCs w:val="20"/>
              </w:rPr>
            </w:pPr>
            <w:r w:rsidRPr="00D156F1">
              <w:rPr>
                <w:b/>
                <w:noProof/>
                <w:sz w:val="20"/>
                <w:szCs w:val="20"/>
              </w:rPr>
              <w:t>Residential</w:t>
            </w:r>
            <w:r w:rsidRPr="00D156F1">
              <w:rPr>
                <w:b/>
                <w:noProof/>
                <w:sz w:val="20"/>
                <w:szCs w:val="20"/>
              </w:rPr>
              <w:tab/>
              <w:t>0</w:t>
            </w:r>
            <w:r w:rsidRPr="00D156F1">
              <w:rPr>
                <w:b/>
                <w:noProof/>
                <w:sz w:val="20"/>
                <w:szCs w:val="20"/>
              </w:rPr>
              <w:tab/>
              <w:t>79</w:t>
            </w:r>
            <w:r w:rsidRPr="00D156F1">
              <w:rPr>
                <w:b/>
                <w:noProof/>
                <w:sz w:val="20"/>
                <w:szCs w:val="20"/>
              </w:rPr>
              <w:tab/>
            </w:r>
            <w:r w:rsidR="00181E18" w:rsidRPr="00D156F1">
              <w:rPr>
                <w:b/>
                <w:noProof/>
                <w:sz w:val="20"/>
                <w:szCs w:val="20"/>
              </w:rPr>
              <w:tab/>
            </w:r>
            <w:r w:rsidRPr="00D156F1">
              <w:rPr>
                <w:b/>
                <w:noProof/>
                <w:sz w:val="20"/>
                <w:szCs w:val="20"/>
              </w:rPr>
              <w:t>2342</w:t>
            </w:r>
            <w:r w:rsidRPr="00D156F1">
              <w:rPr>
                <w:b/>
                <w:noProof/>
                <w:sz w:val="20"/>
                <w:szCs w:val="20"/>
              </w:rPr>
              <w:tab/>
            </w:r>
            <w:r w:rsidR="00181E18" w:rsidRPr="00D156F1">
              <w:rPr>
                <w:b/>
                <w:noProof/>
                <w:sz w:val="20"/>
                <w:szCs w:val="20"/>
              </w:rPr>
              <w:tab/>
            </w:r>
            <w:r w:rsidRPr="00D156F1">
              <w:rPr>
                <w:b/>
                <w:noProof/>
                <w:sz w:val="20"/>
                <w:szCs w:val="20"/>
              </w:rPr>
              <w:t>2421</w:t>
            </w:r>
          </w:p>
          <w:p w14:paraId="50F3636C" w14:textId="77777777" w:rsidR="00A324D9" w:rsidRPr="00D156F1" w:rsidRDefault="00A324D9" w:rsidP="00181E18">
            <w:pPr>
              <w:pBdr>
                <w:top w:val="single" w:sz="4" w:space="1" w:color="auto"/>
                <w:bottom w:val="single" w:sz="4" w:space="1" w:color="auto"/>
                <w:right w:val="single" w:sz="4" w:space="4" w:color="auto"/>
                <w:between w:val="single" w:sz="4" w:space="1" w:color="auto"/>
                <w:bar w:val="single" w:sz="4" w:color="auto"/>
              </w:pBdr>
              <w:spacing w:after="80"/>
              <w:outlineLvl w:val="0"/>
              <w:rPr>
                <w:noProof/>
                <w:sz w:val="20"/>
                <w:szCs w:val="20"/>
              </w:rPr>
            </w:pPr>
            <w:r w:rsidRPr="00D156F1">
              <w:rPr>
                <w:noProof/>
                <w:sz w:val="20"/>
                <w:szCs w:val="20"/>
              </w:rPr>
              <w:t>Services</w:t>
            </w:r>
            <w:r w:rsidRPr="00D156F1">
              <w:rPr>
                <w:noProof/>
                <w:sz w:val="20"/>
                <w:szCs w:val="20"/>
              </w:rPr>
              <w:tab/>
            </w:r>
            <w:r w:rsidR="00D156F1">
              <w:rPr>
                <w:noProof/>
                <w:sz w:val="20"/>
                <w:szCs w:val="20"/>
              </w:rPr>
              <w:tab/>
            </w:r>
            <w:r w:rsidRPr="00D156F1">
              <w:rPr>
                <w:noProof/>
                <w:sz w:val="20"/>
                <w:szCs w:val="20"/>
              </w:rPr>
              <w:t>0</w:t>
            </w:r>
            <w:r w:rsidRPr="00D156F1">
              <w:rPr>
                <w:noProof/>
                <w:sz w:val="20"/>
                <w:szCs w:val="20"/>
              </w:rPr>
              <w:tab/>
              <w:t>5</w:t>
            </w:r>
            <w:r w:rsidRPr="00D156F1">
              <w:rPr>
                <w:noProof/>
                <w:sz w:val="20"/>
                <w:szCs w:val="20"/>
              </w:rPr>
              <w:tab/>
            </w:r>
            <w:r w:rsidR="00181E18" w:rsidRPr="00D156F1">
              <w:rPr>
                <w:noProof/>
                <w:sz w:val="20"/>
                <w:szCs w:val="20"/>
              </w:rPr>
              <w:tab/>
            </w:r>
            <w:r w:rsidRPr="00D156F1">
              <w:rPr>
                <w:noProof/>
                <w:sz w:val="20"/>
                <w:szCs w:val="20"/>
              </w:rPr>
              <w:t>30</w:t>
            </w:r>
            <w:r w:rsidRPr="00D156F1">
              <w:rPr>
                <w:noProof/>
                <w:sz w:val="20"/>
                <w:szCs w:val="20"/>
              </w:rPr>
              <w:tab/>
            </w:r>
            <w:r w:rsidR="00181E18" w:rsidRPr="00D156F1">
              <w:rPr>
                <w:noProof/>
                <w:sz w:val="20"/>
                <w:szCs w:val="20"/>
              </w:rPr>
              <w:tab/>
            </w:r>
            <w:r w:rsidRPr="00D156F1">
              <w:rPr>
                <w:noProof/>
                <w:sz w:val="20"/>
                <w:szCs w:val="20"/>
              </w:rPr>
              <w:t>35</w:t>
            </w:r>
          </w:p>
          <w:p w14:paraId="243A0DA3" w14:textId="77777777" w:rsidR="00A324D9" w:rsidRPr="00D156F1" w:rsidRDefault="00A324D9" w:rsidP="00181E18">
            <w:pPr>
              <w:pBdr>
                <w:top w:val="single" w:sz="4" w:space="1" w:color="auto"/>
                <w:bottom w:val="single" w:sz="4" w:space="1" w:color="auto"/>
                <w:right w:val="single" w:sz="4" w:space="4" w:color="auto"/>
                <w:between w:val="single" w:sz="4" w:space="1" w:color="auto"/>
                <w:bar w:val="single" w:sz="4" w:color="auto"/>
              </w:pBdr>
              <w:spacing w:after="80"/>
              <w:outlineLvl w:val="0"/>
              <w:rPr>
                <w:noProof/>
                <w:sz w:val="20"/>
                <w:szCs w:val="20"/>
              </w:rPr>
            </w:pPr>
            <w:r w:rsidRPr="00D156F1">
              <w:rPr>
                <w:noProof/>
                <w:sz w:val="20"/>
                <w:szCs w:val="20"/>
              </w:rPr>
              <w:t>Agriculture</w:t>
            </w:r>
            <w:r w:rsidRPr="00D156F1">
              <w:rPr>
                <w:noProof/>
                <w:sz w:val="20"/>
                <w:szCs w:val="20"/>
              </w:rPr>
              <w:tab/>
              <w:t>0</w:t>
            </w:r>
            <w:r w:rsidRPr="00D156F1">
              <w:rPr>
                <w:noProof/>
                <w:sz w:val="20"/>
                <w:szCs w:val="20"/>
              </w:rPr>
              <w:tab/>
              <w:t>301</w:t>
            </w:r>
            <w:r w:rsidRPr="00D156F1">
              <w:rPr>
                <w:noProof/>
                <w:sz w:val="20"/>
                <w:szCs w:val="20"/>
              </w:rPr>
              <w:tab/>
            </w:r>
            <w:r w:rsidR="00181E18" w:rsidRPr="00D156F1">
              <w:rPr>
                <w:noProof/>
                <w:sz w:val="20"/>
                <w:szCs w:val="20"/>
              </w:rPr>
              <w:tab/>
            </w:r>
            <w:r w:rsidRPr="00D156F1">
              <w:rPr>
                <w:noProof/>
                <w:sz w:val="20"/>
                <w:szCs w:val="20"/>
              </w:rPr>
              <w:t>5</w:t>
            </w:r>
            <w:r w:rsidRPr="00D156F1">
              <w:rPr>
                <w:noProof/>
                <w:sz w:val="20"/>
                <w:szCs w:val="20"/>
              </w:rPr>
              <w:tab/>
            </w:r>
            <w:r w:rsidR="00181E18" w:rsidRPr="00D156F1">
              <w:rPr>
                <w:noProof/>
                <w:sz w:val="20"/>
                <w:szCs w:val="20"/>
              </w:rPr>
              <w:tab/>
            </w:r>
            <w:r w:rsidRPr="00D156F1">
              <w:rPr>
                <w:noProof/>
                <w:sz w:val="20"/>
                <w:szCs w:val="20"/>
              </w:rPr>
              <w:t>306</w:t>
            </w:r>
          </w:p>
          <w:p w14:paraId="6229F32A" w14:textId="77777777" w:rsidR="00A324D9" w:rsidRPr="000F3B43" w:rsidRDefault="00A324D9" w:rsidP="00A324D9">
            <w:pPr>
              <w:spacing w:after="80"/>
              <w:outlineLvl w:val="0"/>
              <w:rPr>
                <w:noProof/>
                <w:sz w:val="20"/>
                <w:szCs w:val="20"/>
              </w:rPr>
            </w:pPr>
            <w:r w:rsidRPr="000F3B43">
              <w:rPr>
                <w:noProof/>
                <w:sz w:val="20"/>
                <w:szCs w:val="20"/>
              </w:rPr>
              <w:t>Source: IEA 2010</w:t>
            </w:r>
          </w:p>
          <w:p w14:paraId="7E628100" w14:textId="77777777" w:rsidR="000F3B43" w:rsidRPr="00A324D9" w:rsidRDefault="000F3B43" w:rsidP="000F3B43">
            <w:pPr>
              <w:spacing w:after="80"/>
              <w:outlineLvl w:val="0"/>
              <w:rPr>
                <w:noProof/>
                <w:sz w:val="22"/>
                <w:szCs w:val="22"/>
              </w:rPr>
            </w:pPr>
          </w:p>
          <w:p w14:paraId="23FBC8AD" w14:textId="77777777" w:rsidR="00A324D9" w:rsidRPr="005C590C" w:rsidRDefault="000A5CDA" w:rsidP="00A324D9">
            <w:pPr>
              <w:spacing w:after="80"/>
              <w:outlineLvl w:val="0"/>
              <w:rPr>
                <w:noProof/>
                <w:sz w:val="22"/>
                <w:szCs w:val="22"/>
                <w:u w:val="single"/>
              </w:rPr>
            </w:pPr>
            <w:r w:rsidRPr="005C590C">
              <w:rPr>
                <w:noProof/>
                <w:sz w:val="22"/>
                <w:szCs w:val="22"/>
                <w:u w:val="single"/>
              </w:rPr>
              <w:t xml:space="preserve">2) </w:t>
            </w:r>
            <w:r w:rsidRPr="005C590C">
              <w:rPr>
                <w:sz w:val="22"/>
                <w:szCs w:val="22"/>
                <w:u w:val="single"/>
              </w:rPr>
              <w:t>Baseline scenario and projects</w:t>
            </w:r>
          </w:p>
          <w:p w14:paraId="0D4E4913" w14:textId="77777777" w:rsidR="005C590C" w:rsidRPr="00D156F1" w:rsidRDefault="00D156F1" w:rsidP="00D156F1">
            <w:pPr>
              <w:pStyle w:val="Default"/>
              <w:spacing w:before="120" w:after="120"/>
              <w:jc w:val="both"/>
              <w:rPr>
                <w:rFonts w:ascii="Times New Roman" w:hAnsi="Times New Roman" w:cs="Times New Roman"/>
                <w:sz w:val="22"/>
                <w:szCs w:val="22"/>
              </w:rPr>
            </w:pPr>
            <w:r w:rsidRPr="00D156F1">
              <w:rPr>
                <w:rFonts w:ascii="Times New Roman" w:hAnsi="Times New Roman" w:cs="Times New Roman"/>
                <w:sz w:val="22"/>
                <w:szCs w:val="22"/>
              </w:rPr>
              <w:t xml:space="preserve">Having reached the peak of the currently available oil and gas production, Azerbaijan needs to establish a </w:t>
            </w:r>
            <w:r w:rsidRPr="00D156F1">
              <w:rPr>
                <w:rFonts w:ascii="Times New Roman" w:hAnsi="Times New Roman" w:cs="Times New Roman"/>
                <w:sz w:val="22"/>
                <w:szCs w:val="22"/>
              </w:rPr>
              <w:lastRenderedPageBreak/>
              <w:t xml:space="preserve">viable medium and long term </w:t>
            </w:r>
            <w:r>
              <w:rPr>
                <w:rFonts w:ascii="Times New Roman" w:hAnsi="Times New Roman" w:cs="Times New Roman"/>
                <w:sz w:val="22"/>
                <w:szCs w:val="22"/>
              </w:rPr>
              <w:t>strategy for managing and utiliz</w:t>
            </w:r>
            <w:r w:rsidRPr="00D156F1">
              <w:rPr>
                <w:rFonts w:ascii="Times New Roman" w:hAnsi="Times New Roman" w:cs="Times New Roman"/>
                <w:sz w:val="22"/>
                <w:szCs w:val="22"/>
              </w:rPr>
              <w:t xml:space="preserve">ing its energy resources. One </w:t>
            </w:r>
            <w:r w:rsidR="00125F28">
              <w:rPr>
                <w:rFonts w:ascii="Times New Roman" w:hAnsi="Times New Roman" w:cs="Times New Roman"/>
                <w:sz w:val="22"/>
                <w:szCs w:val="22"/>
              </w:rPr>
              <w:t xml:space="preserve">important </w:t>
            </w:r>
            <w:r w:rsidRPr="00D156F1">
              <w:rPr>
                <w:rFonts w:ascii="Times New Roman" w:hAnsi="Times New Roman" w:cs="Times New Roman"/>
                <w:sz w:val="22"/>
                <w:szCs w:val="22"/>
              </w:rPr>
              <w:t>componen</w:t>
            </w:r>
            <w:r>
              <w:rPr>
                <w:rFonts w:ascii="Times New Roman" w:hAnsi="Times New Roman" w:cs="Times New Roman"/>
                <w:sz w:val="22"/>
                <w:szCs w:val="22"/>
              </w:rPr>
              <w:t>t of such strategy is the utiliz</w:t>
            </w:r>
            <w:r w:rsidRPr="00D156F1">
              <w:rPr>
                <w:rFonts w:ascii="Times New Roman" w:hAnsi="Times New Roman" w:cs="Times New Roman"/>
                <w:sz w:val="22"/>
                <w:szCs w:val="22"/>
              </w:rPr>
              <w:t xml:space="preserve">ation of the available renewable energy resources and improving the energy intensity of the economy in order to achieve reduction of the use of gas and oil internally, through replacement of the oil and gas used for generation of electricity by renewable electricity and energy savings. </w:t>
            </w:r>
            <w:r w:rsidR="00AE68FF" w:rsidRPr="00D156F1">
              <w:rPr>
                <w:rFonts w:ascii="Times New Roman" w:hAnsi="Times New Roman" w:cs="Times New Roman"/>
                <w:noProof/>
                <w:sz w:val="22"/>
                <w:szCs w:val="22"/>
              </w:rPr>
              <w:t xml:space="preserve">Currently, there are several initiatives led by </w:t>
            </w:r>
            <w:r w:rsidR="005C590C" w:rsidRPr="00D156F1">
              <w:rPr>
                <w:rFonts w:ascii="Times New Roman" w:hAnsi="Times New Roman" w:cs="Times New Roman"/>
                <w:noProof/>
                <w:sz w:val="22"/>
                <w:szCs w:val="22"/>
              </w:rPr>
              <w:t xml:space="preserve">the Government and </w:t>
            </w:r>
            <w:r w:rsidR="00617D30">
              <w:rPr>
                <w:rFonts w:ascii="Times New Roman" w:hAnsi="Times New Roman" w:cs="Times New Roman"/>
                <w:noProof/>
                <w:sz w:val="22"/>
                <w:szCs w:val="22"/>
              </w:rPr>
              <w:t xml:space="preserve">the </w:t>
            </w:r>
            <w:r w:rsidR="005C590C" w:rsidRPr="00D156F1">
              <w:rPr>
                <w:rFonts w:ascii="Times New Roman" w:hAnsi="Times New Roman" w:cs="Times New Roman"/>
                <w:noProof/>
                <w:sz w:val="22"/>
                <w:szCs w:val="22"/>
              </w:rPr>
              <w:t xml:space="preserve">national oil&amp;gas company, </w:t>
            </w:r>
            <w:r w:rsidR="00AE68FF" w:rsidRPr="00D156F1">
              <w:rPr>
                <w:rFonts w:ascii="Times New Roman" w:hAnsi="Times New Roman" w:cs="Times New Roman"/>
                <w:noProof/>
                <w:sz w:val="22"/>
                <w:szCs w:val="22"/>
              </w:rPr>
              <w:t>SOCAR</w:t>
            </w:r>
            <w:r w:rsidR="005C590C" w:rsidRPr="00D156F1">
              <w:rPr>
                <w:rFonts w:ascii="Times New Roman" w:hAnsi="Times New Roman" w:cs="Times New Roman"/>
                <w:noProof/>
                <w:sz w:val="22"/>
                <w:szCs w:val="22"/>
              </w:rPr>
              <w:t>,</w:t>
            </w:r>
            <w:r w:rsidR="00AE68FF" w:rsidRPr="00D156F1">
              <w:rPr>
                <w:rFonts w:ascii="Times New Roman" w:hAnsi="Times New Roman" w:cs="Times New Roman"/>
                <w:noProof/>
                <w:sz w:val="22"/>
                <w:szCs w:val="22"/>
              </w:rPr>
              <w:t xml:space="preserve"> which clearly contribute towards </w:t>
            </w:r>
            <w:r w:rsidRPr="00D156F1">
              <w:rPr>
                <w:rFonts w:ascii="Times New Roman" w:hAnsi="Times New Roman" w:cs="Times New Roman"/>
                <w:noProof/>
                <w:sz w:val="22"/>
                <w:szCs w:val="22"/>
              </w:rPr>
              <w:t>this objective</w:t>
            </w:r>
            <w:r w:rsidR="00AE68FF" w:rsidRPr="00D156F1">
              <w:rPr>
                <w:rFonts w:ascii="Times New Roman" w:hAnsi="Times New Roman" w:cs="Times New Roman"/>
                <w:noProof/>
                <w:sz w:val="22"/>
                <w:szCs w:val="22"/>
              </w:rPr>
              <w:t xml:space="preserve">, of which the most relevant are described below. </w:t>
            </w:r>
          </w:p>
          <w:p w14:paraId="0F562889" w14:textId="77777777" w:rsidR="005C590C" w:rsidRDefault="005C590C" w:rsidP="005C590C">
            <w:pPr>
              <w:spacing w:after="80"/>
              <w:outlineLvl w:val="0"/>
              <w:rPr>
                <w:b/>
                <w:noProof/>
                <w:sz w:val="22"/>
                <w:szCs w:val="22"/>
              </w:rPr>
            </w:pPr>
            <w:r w:rsidRPr="006F7344">
              <w:rPr>
                <w:b/>
                <w:noProof/>
                <w:sz w:val="22"/>
                <w:szCs w:val="22"/>
              </w:rPr>
              <w:t>BAU Component 1: GHG/Energy baseline and targets</w:t>
            </w:r>
          </w:p>
          <w:p w14:paraId="775DBFF2" w14:textId="77777777" w:rsidR="002B47C1" w:rsidRPr="002B47C1" w:rsidRDefault="002B47C1" w:rsidP="005C590C">
            <w:pPr>
              <w:spacing w:after="80"/>
              <w:outlineLvl w:val="0"/>
              <w:rPr>
                <w:noProof/>
                <w:sz w:val="22"/>
                <w:szCs w:val="22"/>
              </w:rPr>
            </w:pPr>
            <w:r w:rsidRPr="002B47C1">
              <w:rPr>
                <w:noProof/>
                <w:sz w:val="22"/>
                <w:szCs w:val="22"/>
              </w:rPr>
              <w:t>As</w:t>
            </w:r>
            <w:r>
              <w:rPr>
                <w:noProof/>
                <w:sz w:val="22"/>
                <w:szCs w:val="22"/>
              </w:rPr>
              <w:t xml:space="preserve"> Table 1 shows, Azerbaijan’s baseline emissions are projected to grow nearly two-fold and reach </w:t>
            </w:r>
            <w:r w:rsidR="00EE3F38">
              <w:rPr>
                <w:noProof/>
                <w:sz w:val="22"/>
                <w:szCs w:val="22"/>
              </w:rPr>
              <w:t>115</w:t>
            </w:r>
            <w:r>
              <w:rPr>
                <w:noProof/>
                <w:sz w:val="22"/>
                <w:szCs w:val="22"/>
              </w:rPr>
              <w:t>.</w:t>
            </w:r>
            <w:r w:rsidR="00EE3F38">
              <w:rPr>
                <w:noProof/>
                <w:sz w:val="22"/>
                <w:szCs w:val="22"/>
              </w:rPr>
              <w:t>6</w:t>
            </w:r>
            <w:r>
              <w:rPr>
                <w:noProof/>
                <w:sz w:val="22"/>
                <w:szCs w:val="22"/>
              </w:rPr>
              <w:t xml:space="preserve"> MtCO2</w:t>
            </w:r>
            <w:r w:rsidR="00EE64B2">
              <w:rPr>
                <w:noProof/>
                <w:sz w:val="22"/>
                <w:szCs w:val="22"/>
              </w:rPr>
              <w:t xml:space="preserve"> by 2025 primarily as a result of increased domestic consumption of oil&amp;gas in </w:t>
            </w:r>
            <w:r w:rsidR="00617D30">
              <w:rPr>
                <w:noProof/>
                <w:sz w:val="22"/>
                <w:szCs w:val="22"/>
              </w:rPr>
              <w:t xml:space="preserve">the </w:t>
            </w:r>
            <w:r w:rsidR="00EE64B2">
              <w:rPr>
                <w:noProof/>
                <w:sz w:val="22"/>
                <w:szCs w:val="22"/>
              </w:rPr>
              <w:t xml:space="preserve">residential, power and transport sectors. </w:t>
            </w:r>
          </w:p>
          <w:p w14:paraId="62999F3F" w14:textId="77777777" w:rsidR="002B47C1" w:rsidRDefault="00FE375E" w:rsidP="004823DB">
            <w:pPr>
              <w:spacing w:after="80"/>
              <w:jc w:val="both"/>
              <w:outlineLvl w:val="0"/>
              <w:rPr>
                <w:sz w:val="22"/>
                <w:szCs w:val="22"/>
              </w:rPr>
            </w:pPr>
            <w:r>
              <w:rPr>
                <w:noProof/>
                <w:sz w:val="22"/>
                <w:szCs w:val="22"/>
              </w:rPr>
              <w:drawing>
                <wp:inline distT="0" distB="0" distL="0" distR="0" wp14:anchorId="308B8208" wp14:editId="730840C0">
                  <wp:extent cx="5935345" cy="13125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1312545"/>
                          </a:xfrm>
                          <a:prstGeom prst="rect">
                            <a:avLst/>
                          </a:prstGeom>
                          <a:noFill/>
                          <a:ln>
                            <a:noFill/>
                          </a:ln>
                        </pic:spPr>
                      </pic:pic>
                    </a:graphicData>
                  </a:graphic>
                </wp:inline>
              </w:drawing>
            </w:r>
          </w:p>
          <w:p w14:paraId="3A7F294D" w14:textId="77777777" w:rsidR="002B47C1" w:rsidRPr="002B47C1" w:rsidRDefault="002B47C1" w:rsidP="004823DB">
            <w:pPr>
              <w:spacing w:after="80"/>
              <w:jc w:val="both"/>
              <w:outlineLvl w:val="0"/>
              <w:rPr>
                <w:sz w:val="20"/>
                <w:szCs w:val="22"/>
              </w:rPr>
            </w:pPr>
            <w:r w:rsidRPr="002B47C1">
              <w:rPr>
                <w:sz w:val="20"/>
                <w:szCs w:val="22"/>
              </w:rPr>
              <w:t>Source: Azerbaijan’s NC to UNFCCC</w:t>
            </w:r>
          </w:p>
          <w:p w14:paraId="3B603AA7" w14:textId="77777777" w:rsidR="005968DC" w:rsidRPr="00DA6468" w:rsidRDefault="00D156F1" w:rsidP="004823DB">
            <w:pPr>
              <w:spacing w:after="80"/>
              <w:jc w:val="both"/>
              <w:outlineLvl w:val="0"/>
              <w:rPr>
                <w:sz w:val="22"/>
                <w:szCs w:val="22"/>
              </w:rPr>
            </w:pPr>
            <w:r w:rsidRPr="00DA6468">
              <w:rPr>
                <w:sz w:val="22"/>
                <w:szCs w:val="22"/>
              </w:rPr>
              <w:t xml:space="preserve">The energy sector development </w:t>
            </w:r>
            <w:r w:rsidR="009336E5">
              <w:rPr>
                <w:sz w:val="22"/>
                <w:szCs w:val="22"/>
              </w:rPr>
              <w:t xml:space="preserve">in Azerbaijan </w:t>
            </w:r>
            <w:r w:rsidRPr="00DA6468">
              <w:rPr>
                <w:sz w:val="22"/>
                <w:szCs w:val="22"/>
              </w:rPr>
              <w:t xml:space="preserve">is </w:t>
            </w:r>
            <w:r w:rsidR="009336E5">
              <w:rPr>
                <w:sz w:val="22"/>
                <w:szCs w:val="22"/>
              </w:rPr>
              <w:t>guided by</w:t>
            </w:r>
            <w:r w:rsidRPr="00DA6468">
              <w:rPr>
                <w:sz w:val="22"/>
                <w:szCs w:val="22"/>
              </w:rPr>
              <w:t xml:space="preserve"> two State </w:t>
            </w:r>
            <w:proofErr w:type="spellStart"/>
            <w:r w:rsidRPr="00DA6468">
              <w:rPr>
                <w:sz w:val="22"/>
                <w:szCs w:val="22"/>
              </w:rPr>
              <w:t>Programmes</w:t>
            </w:r>
            <w:proofErr w:type="spellEnd"/>
            <w:r w:rsidRPr="00DA6468">
              <w:rPr>
                <w:sz w:val="22"/>
                <w:szCs w:val="22"/>
              </w:rPr>
              <w:t>:</w:t>
            </w:r>
            <w:r w:rsidR="005968DC" w:rsidRPr="00DA6468">
              <w:rPr>
                <w:sz w:val="22"/>
                <w:szCs w:val="22"/>
              </w:rPr>
              <w:t xml:space="preserve"> </w:t>
            </w:r>
            <w:r w:rsidR="005968DC" w:rsidRPr="00DA6468">
              <w:rPr>
                <w:noProof/>
                <w:sz w:val="22"/>
                <w:szCs w:val="22"/>
              </w:rPr>
              <w:t>t</w:t>
            </w:r>
            <w:r w:rsidRPr="00DA6468">
              <w:rPr>
                <w:noProof/>
                <w:sz w:val="22"/>
                <w:szCs w:val="22"/>
              </w:rPr>
              <w:t>he State Programme for the Development of the Fuel and Energy Sector in Azerbaijan and the State Programme on the Use of Alternative and Renewable Energy Sources in Azerbaijan. The</w:t>
            </w:r>
            <w:r w:rsidR="009336E5">
              <w:rPr>
                <w:noProof/>
                <w:sz w:val="22"/>
                <w:szCs w:val="22"/>
              </w:rPr>
              <w:t>se</w:t>
            </w:r>
            <w:r w:rsidRPr="00DA6468">
              <w:rPr>
                <w:noProof/>
                <w:sz w:val="22"/>
                <w:szCs w:val="22"/>
              </w:rPr>
              <w:t xml:space="preserve"> Program</w:t>
            </w:r>
            <w:r w:rsidR="009336E5">
              <w:rPr>
                <w:noProof/>
                <w:sz w:val="22"/>
                <w:szCs w:val="22"/>
              </w:rPr>
              <w:t>m</w:t>
            </w:r>
            <w:r w:rsidRPr="00DA6468">
              <w:rPr>
                <w:noProof/>
                <w:sz w:val="22"/>
                <w:szCs w:val="22"/>
              </w:rPr>
              <w:t xml:space="preserve">es </w:t>
            </w:r>
            <w:r w:rsidRPr="00DA6468">
              <w:rPr>
                <w:sz w:val="22"/>
                <w:szCs w:val="22"/>
              </w:rPr>
              <w:t>identify short-term (5 year), mid-term (10 year) and long-term (to 2030) targets for introduction of RES and EE technologies as follows:</w:t>
            </w:r>
            <w:r w:rsidR="00125F28">
              <w:rPr>
                <w:sz w:val="22"/>
                <w:szCs w:val="22"/>
              </w:rPr>
              <w:t xml:space="preserve"> </w:t>
            </w:r>
            <w:r w:rsidR="004823DB">
              <w:rPr>
                <w:sz w:val="22"/>
                <w:szCs w:val="22"/>
              </w:rPr>
              <w:t xml:space="preserve">1) </w:t>
            </w:r>
            <w:r w:rsidR="004823DB">
              <w:rPr>
                <w:noProof/>
                <w:sz w:val="22"/>
                <w:szCs w:val="22"/>
              </w:rPr>
              <w:t>s</w:t>
            </w:r>
            <w:r w:rsidRPr="00DA6468">
              <w:rPr>
                <w:noProof/>
                <w:sz w:val="22"/>
                <w:szCs w:val="22"/>
              </w:rPr>
              <w:t>hare of RES in gro</w:t>
            </w:r>
            <w:r w:rsidR="005968DC" w:rsidRPr="00DA6468">
              <w:rPr>
                <w:noProof/>
                <w:sz w:val="22"/>
                <w:szCs w:val="22"/>
              </w:rPr>
              <w:t>ss</w:t>
            </w:r>
            <w:r w:rsidRPr="00DA6468">
              <w:rPr>
                <w:noProof/>
                <w:sz w:val="22"/>
                <w:szCs w:val="22"/>
              </w:rPr>
              <w:t xml:space="preserve"> domestic power </w:t>
            </w:r>
            <w:r w:rsidR="005968DC" w:rsidRPr="00DA6468">
              <w:rPr>
                <w:noProof/>
                <w:sz w:val="22"/>
                <w:szCs w:val="22"/>
              </w:rPr>
              <w:t xml:space="preserve">consumption reaches </w:t>
            </w:r>
            <w:r w:rsidR="00DA6468" w:rsidRPr="00DA6468">
              <w:rPr>
                <w:noProof/>
                <w:sz w:val="22"/>
                <w:szCs w:val="22"/>
              </w:rPr>
              <w:t>30</w:t>
            </w:r>
            <w:r w:rsidR="005968DC" w:rsidRPr="00DA6468">
              <w:rPr>
                <w:noProof/>
                <w:sz w:val="22"/>
                <w:szCs w:val="22"/>
              </w:rPr>
              <w:t>% by 2030</w:t>
            </w:r>
            <w:r w:rsidR="004823DB">
              <w:rPr>
                <w:noProof/>
                <w:sz w:val="22"/>
                <w:szCs w:val="22"/>
              </w:rPr>
              <w:t>; 2) e</w:t>
            </w:r>
            <w:r w:rsidR="00DA6468" w:rsidRPr="00DA6468">
              <w:rPr>
                <w:noProof/>
                <w:sz w:val="22"/>
                <w:szCs w:val="22"/>
              </w:rPr>
              <w:t xml:space="preserve">fficient use of resources result in </w:t>
            </w:r>
            <w:r w:rsidR="00C56353">
              <w:rPr>
                <w:noProof/>
                <w:sz w:val="22"/>
                <w:szCs w:val="22"/>
              </w:rPr>
              <w:t>saving of equivalent of</w:t>
            </w:r>
            <w:r w:rsidR="004823DB">
              <w:rPr>
                <w:noProof/>
                <w:sz w:val="22"/>
                <w:szCs w:val="22"/>
              </w:rPr>
              <w:t xml:space="preserve"> 3,060 mln m</w:t>
            </w:r>
            <w:r w:rsidR="004823DB" w:rsidRPr="00C56353">
              <w:rPr>
                <w:noProof/>
                <w:sz w:val="22"/>
                <w:szCs w:val="22"/>
                <w:vertAlign w:val="superscript"/>
              </w:rPr>
              <w:t>3</w:t>
            </w:r>
            <w:r w:rsidR="004823DB">
              <w:rPr>
                <w:noProof/>
                <w:sz w:val="22"/>
                <w:szCs w:val="22"/>
              </w:rPr>
              <w:t xml:space="preserve"> </w:t>
            </w:r>
            <w:r w:rsidR="00C56353">
              <w:rPr>
                <w:noProof/>
                <w:sz w:val="22"/>
                <w:szCs w:val="22"/>
              </w:rPr>
              <w:t xml:space="preserve">of natural gas </w:t>
            </w:r>
            <w:r w:rsidR="004823DB">
              <w:rPr>
                <w:noProof/>
                <w:sz w:val="22"/>
                <w:szCs w:val="22"/>
              </w:rPr>
              <w:t xml:space="preserve">by 2030; and 3) </w:t>
            </w:r>
            <w:r w:rsidR="00DA6468">
              <w:rPr>
                <w:noProof/>
                <w:sz w:val="22"/>
                <w:szCs w:val="22"/>
              </w:rPr>
              <w:t>GHG e</w:t>
            </w:r>
            <w:r w:rsidR="005968DC" w:rsidRPr="00DA6468">
              <w:rPr>
                <w:noProof/>
                <w:sz w:val="22"/>
                <w:szCs w:val="22"/>
              </w:rPr>
              <w:t>mission</w:t>
            </w:r>
            <w:r w:rsidR="00DA6468">
              <w:rPr>
                <w:noProof/>
                <w:sz w:val="22"/>
                <w:szCs w:val="22"/>
              </w:rPr>
              <w:t>s reduced by 30%</w:t>
            </w:r>
            <w:r w:rsidR="005968DC" w:rsidRPr="00DA6468">
              <w:rPr>
                <w:noProof/>
                <w:sz w:val="22"/>
                <w:szCs w:val="22"/>
              </w:rPr>
              <w:t xml:space="preserve"> in 2030</w:t>
            </w:r>
            <w:r w:rsidR="00C56353">
              <w:rPr>
                <w:noProof/>
                <w:sz w:val="22"/>
                <w:szCs w:val="22"/>
              </w:rPr>
              <w:t xml:space="preserve"> as compared to 2010 baseline.</w:t>
            </w:r>
            <w:r w:rsidR="005968DC" w:rsidRPr="00DA6468">
              <w:rPr>
                <w:noProof/>
                <w:sz w:val="22"/>
                <w:szCs w:val="22"/>
              </w:rPr>
              <w:t xml:space="preserve"> </w:t>
            </w:r>
          </w:p>
          <w:p w14:paraId="75B6DDAD" w14:textId="77777777" w:rsidR="008B732F" w:rsidRPr="00DA6468" w:rsidRDefault="00DA6468" w:rsidP="00DA6468">
            <w:pPr>
              <w:pStyle w:val="Default"/>
              <w:spacing w:before="120" w:after="120"/>
              <w:jc w:val="both"/>
              <w:rPr>
                <w:rFonts w:ascii="Times New Roman" w:hAnsi="Times New Roman" w:cs="Times New Roman"/>
                <w:noProof/>
                <w:sz w:val="22"/>
                <w:szCs w:val="22"/>
              </w:rPr>
            </w:pPr>
            <w:r w:rsidRPr="00DA6468">
              <w:rPr>
                <w:rFonts w:ascii="Times New Roman" w:hAnsi="Times New Roman" w:cs="Times New Roman"/>
                <w:sz w:val="22"/>
                <w:szCs w:val="22"/>
              </w:rPr>
              <w:t>In addition, the n</w:t>
            </w:r>
            <w:r w:rsidR="005C590C" w:rsidRPr="00DA6468">
              <w:rPr>
                <w:rFonts w:ascii="Times New Roman" w:hAnsi="Times New Roman" w:cs="Times New Roman"/>
                <w:noProof/>
                <w:sz w:val="22"/>
                <w:szCs w:val="22"/>
              </w:rPr>
              <w:t xml:space="preserve">ational oil and gas company, SOCAR, has taken </w:t>
            </w:r>
            <w:r w:rsidRPr="00DA6468">
              <w:rPr>
                <w:rFonts w:ascii="Times New Roman" w:hAnsi="Times New Roman" w:cs="Times New Roman"/>
                <w:noProof/>
                <w:sz w:val="22"/>
                <w:szCs w:val="22"/>
              </w:rPr>
              <w:t>even more ambitious voluntary commitment</w:t>
            </w:r>
            <w:r w:rsidR="005C590C" w:rsidRPr="00DA6468">
              <w:rPr>
                <w:rFonts w:ascii="Times New Roman" w:hAnsi="Times New Roman" w:cs="Times New Roman"/>
                <w:noProof/>
                <w:sz w:val="22"/>
                <w:szCs w:val="22"/>
              </w:rPr>
              <w:t xml:space="preserve"> to reduce its </w:t>
            </w:r>
            <w:r w:rsidR="00125F28">
              <w:rPr>
                <w:rFonts w:ascii="Times New Roman" w:hAnsi="Times New Roman" w:cs="Times New Roman"/>
                <w:noProof/>
                <w:sz w:val="22"/>
                <w:szCs w:val="22"/>
              </w:rPr>
              <w:t xml:space="preserve">own </w:t>
            </w:r>
            <w:r w:rsidR="005C590C" w:rsidRPr="00DA6468">
              <w:rPr>
                <w:rFonts w:ascii="Times New Roman" w:hAnsi="Times New Roman" w:cs="Times New Roman"/>
                <w:noProof/>
                <w:sz w:val="22"/>
                <w:szCs w:val="22"/>
              </w:rPr>
              <w:t xml:space="preserve">emissions by 40% or by 20 mln tCO2 </w:t>
            </w:r>
            <w:r w:rsidRPr="00DA6468">
              <w:rPr>
                <w:rFonts w:ascii="Times New Roman" w:hAnsi="Times New Roman" w:cs="Times New Roman"/>
                <w:noProof/>
                <w:sz w:val="22"/>
                <w:szCs w:val="22"/>
              </w:rPr>
              <w:t>already by</w:t>
            </w:r>
            <w:r w:rsidR="005C590C" w:rsidRPr="00DA6468">
              <w:rPr>
                <w:rFonts w:ascii="Times New Roman" w:hAnsi="Times New Roman" w:cs="Times New Roman"/>
                <w:noProof/>
                <w:sz w:val="22"/>
                <w:szCs w:val="22"/>
              </w:rPr>
              <w:t xml:space="preserve"> 2020. This commitment and the actions to achieve them are spelled out in the SOCAR’s Climate Change Strategy adopted by the Company’s Board in December 2010. </w:t>
            </w:r>
          </w:p>
          <w:p w14:paraId="03631ADB" w14:textId="77777777" w:rsidR="005C590C" w:rsidRPr="006F7344" w:rsidRDefault="008B732F" w:rsidP="00C403AC">
            <w:pPr>
              <w:spacing w:after="80"/>
              <w:outlineLvl w:val="0"/>
              <w:rPr>
                <w:b/>
                <w:noProof/>
                <w:sz w:val="22"/>
                <w:szCs w:val="22"/>
              </w:rPr>
            </w:pPr>
            <w:r w:rsidRPr="006F7344">
              <w:rPr>
                <w:b/>
                <w:noProof/>
                <w:sz w:val="22"/>
                <w:szCs w:val="22"/>
              </w:rPr>
              <w:t>BAU Component 2:</w:t>
            </w:r>
            <w:r w:rsidRPr="006F7344">
              <w:rPr>
                <w:b/>
                <w:noProof/>
                <w:sz w:val="20"/>
                <w:szCs w:val="20"/>
              </w:rPr>
              <w:t xml:space="preserve"> </w:t>
            </w:r>
            <w:r w:rsidRPr="006F7344">
              <w:rPr>
                <w:b/>
                <w:noProof/>
                <w:sz w:val="22"/>
                <w:szCs w:val="22"/>
              </w:rPr>
              <w:t xml:space="preserve">Mitigation </w:t>
            </w:r>
            <w:r w:rsidR="006F7344">
              <w:rPr>
                <w:b/>
                <w:noProof/>
                <w:sz w:val="22"/>
                <w:szCs w:val="22"/>
              </w:rPr>
              <w:t>programmes and policies</w:t>
            </w:r>
            <w:r w:rsidRPr="006F7344">
              <w:rPr>
                <w:b/>
                <w:noProof/>
                <w:sz w:val="22"/>
                <w:szCs w:val="22"/>
              </w:rPr>
              <w:t xml:space="preserve"> for oil&amp;gas end-use sectors</w:t>
            </w:r>
          </w:p>
          <w:p w14:paraId="0C09F158" w14:textId="77777777" w:rsidR="000D1392" w:rsidRDefault="009336E5" w:rsidP="004823DB">
            <w:pPr>
              <w:spacing w:after="80"/>
              <w:jc w:val="both"/>
              <w:outlineLvl w:val="0"/>
              <w:rPr>
                <w:noProof/>
                <w:sz w:val="22"/>
                <w:szCs w:val="22"/>
              </w:rPr>
            </w:pPr>
            <w:r>
              <w:rPr>
                <w:noProof/>
                <w:sz w:val="22"/>
                <w:szCs w:val="22"/>
              </w:rPr>
              <w:t>T</w:t>
            </w:r>
            <w:r w:rsidR="008B732F">
              <w:rPr>
                <w:noProof/>
                <w:sz w:val="22"/>
                <w:szCs w:val="22"/>
              </w:rPr>
              <w:t>he</w:t>
            </w:r>
            <w:r w:rsidR="005C590C" w:rsidRPr="005C590C">
              <w:rPr>
                <w:noProof/>
                <w:sz w:val="22"/>
                <w:szCs w:val="22"/>
              </w:rPr>
              <w:t xml:space="preserve"> </w:t>
            </w:r>
            <w:r w:rsidR="00125F28">
              <w:rPr>
                <w:noProof/>
                <w:sz w:val="22"/>
                <w:szCs w:val="22"/>
              </w:rPr>
              <w:t xml:space="preserve">afore-mentioned </w:t>
            </w:r>
            <w:r w:rsidR="005A1C13" w:rsidRPr="005C590C">
              <w:rPr>
                <w:noProof/>
                <w:sz w:val="22"/>
                <w:szCs w:val="22"/>
              </w:rPr>
              <w:t>State Programme</w:t>
            </w:r>
            <w:r>
              <w:rPr>
                <w:noProof/>
                <w:sz w:val="22"/>
                <w:szCs w:val="22"/>
              </w:rPr>
              <w:t>s</w:t>
            </w:r>
            <w:r w:rsidR="005A1C13" w:rsidRPr="005C590C">
              <w:rPr>
                <w:noProof/>
                <w:sz w:val="22"/>
                <w:szCs w:val="22"/>
              </w:rPr>
              <w:t xml:space="preserve"> </w:t>
            </w:r>
            <w:r w:rsidR="004823DB">
              <w:rPr>
                <w:noProof/>
                <w:sz w:val="22"/>
                <w:szCs w:val="22"/>
              </w:rPr>
              <w:t>also identif</w:t>
            </w:r>
            <w:r>
              <w:rPr>
                <w:noProof/>
                <w:sz w:val="22"/>
                <w:szCs w:val="22"/>
              </w:rPr>
              <w:t>y</w:t>
            </w:r>
            <w:r w:rsidR="005A1C13" w:rsidRPr="00A324D9">
              <w:rPr>
                <w:noProof/>
                <w:sz w:val="22"/>
                <w:szCs w:val="22"/>
              </w:rPr>
              <w:t xml:space="preserve"> </w:t>
            </w:r>
            <w:r>
              <w:rPr>
                <w:noProof/>
                <w:sz w:val="22"/>
                <w:szCs w:val="22"/>
              </w:rPr>
              <w:t xml:space="preserve">specific actions </w:t>
            </w:r>
            <w:r w:rsidR="005A1C13" w:rsidRPr="00A324D9">
              <w:rPr>
                <w:noProof/>
                <w:sz w:val="22"/>
                <w:szCs w:val="22"/>
              </w:rPr>
              <w:t xml:space="preserve">aimed at achieving </w:t>
            </w:r>
            <w:r w:rsidR="00125F28">
              <w:rPr>
                <w:noProof/>
                <w:sz w:val="22"/>
                <w:szCs w:val="22"/>
              </w:rPr>
              <w:t>national</w:t>
            </w:r>
            <w:r w:rsidR="005A1C13" w:rsidRPr="00A324D9">
              <w:rPr>
                <w:noProof/>
                <w:sz w:val="22"/>
                <w:szCs w:val="22"/>
              </w:rPr>
              <w:t xml:space="preserve"> targets by 20</w:t>
            </w:r>
            <w:r>
              <w:rPr>
                <w:noProof/>
                <w:sz w:val="22"/>
                <w:szCs w:val="22"/>
              </w:rPr>
              <w:t>30</w:t>
            </w:r>
            <w:r w:rsidR="005A1C13" w:rsidRPr="00A324D9">
              <w:rPr>
                <w:noProof/>
                <w:sz w:val="22"/>
                <w:szCs w:val="22"/>
              </w:rPr>
              <w:t xml:space="preserve">. </w:t>
            </w:r>
            <w:r>
              <w:rPr>
                <w:noProof/>
                <w:sz w:val="22"/>
                <w:szCs w:val="22"/>
              </w:rPr>
              <w:t>For example</w:t>
            </w:r>
            <w:r w:rsidR="000D1392">
              <w:rPr>
                <w:noProof/>
                <w:sz w:val="22"/>
                <w:szCs w:val="22"/>
              </w:rPr>
              <w:t xml:space="preserve">, the </w:t>
            </w:r>
            <w:r w:rsidR="008B732F" w:rsidRPr="008B732F">
              <w:rPr>
                <w:noProof/>
                <w:sz w:val="22"/>
                <w:szCs w:val="22"/>
              </w:rPr>
              <w:t>Action Plan for Energy Efficiency and Reduction of Losses and Technological Consumption of Energy Sector Enterprises</w:t>
            </w:r>
            <w:r w:rsidR="008B732F" w:rsidRPr="00A324D9">
              <w:rPr>
                <w:noProof/>
                <w:sz w:val="22"/>
                <w:szCs w:val="22"/>
              </w:rPr>
              <w:t xml:space="preserve"> </w:t>
            </w:r>
            <w:r w:rsidR="000D1392">
              <w:rPr>
                <w:noProof/>
                <w:sz w:val="22"/>
                <w:szCs w:val="22"/>
              </w:rPr>
              <w:t>has been adopted</w:t>
            </w:r>
            <w:r w:rsidR="00125F28">
              <w:rPr>
                <w:noProof/>
                <w:sz w:val="22"/>
                <w:szCs w:val="22"/>
              </w:rPr>
              <w:t>; the Plan</w:t>
            </w:r>
            <w:r w:rsidR="000D1392">
              <w:rPr>
                <w:noProof/>
                <w:sz w:val="22"/>
                <w:szCs w:val="22"/>
              </w:rPr>
              <w:t xml:space="preserve"> forsees</w:t>
            </w:r>
            <w:r w:rsidR="008B732F">
              <w:rPr>
                <w:noProof/>
                <w:sz w:val="22"/>
                <w:szCs w:val="22"/>
              </w:rPr>
              <w:t xml:space="preserve"> implement</w:t>
            </w:r>
            <w:r w:rsidR="000D1392">
              <w:rPr>
                <w:noProof/>
                <w:sz w:val="22"/>
                <w:szCs w:val="22"/>
              </w:rPr>
              <w:t>ation of</w:t>
            </w:r>
            <w:r w:rsidR="008B732F" w:rsidRPr="00A324D9">
              <w:rPr>
                <w:noProof/>
                <w:sz w:val="22"/>
                <w:szCs w:val="22"/>
              </w:rPr>
              <w:t xml:space="preserve"> mandatory metering programs at enterprises and households, </w:t>
            </w:r>
            <w:r w:rsidR="008B732F">
              <w:rPr>
                <w:noProof/>
                <w:sz w:val="22"/>
                <w:szCs w:val="22"/>
              </w:rPr>
              <w:t>measures to</w:t>
            </w:r>
            <w:r w:rsidR="008B732F" w:rsidRPr="00A324D9">
              <w:rPr>
                <w:noProof/>
                <w:sz w:val="22"/>
                <w:szCs w:val="22"/>
              </w:rPr>
              <w:t xml:space="preserve"> reduc</w:t>
            </w:r>
            <w:r w:rsidR="008B732F">
              <w:rPr>
                <w:noProof/>
                <w:sz w:val="22"/>
                <w:szCs w:val="22"/>
              </w:rPr>
              <w:t>e</w:t>
            </w:r>
            <w:r w:rsidR="008B732F" w:rsidRPr="00A324D9">
              <w:rPr>
                <w:noProof/>
                <w:sz w:val="22"/>
                <w:szCs w:val="22"/>
              </w:rPr>
              <w:t xml:space="preserve"> technical losses, as well as </w:t>
            </w:r>
            <w:r w:rsidR="00125F28">
              <w:rPr>
                <w:noProof/>
                <w:sz w:val="22"/>
                <w:szCs w:val="22"/>
              </w:rPr>
              <w:t>adoption</w:t>
            </w:r>
            <w:r w:rsidR="008B732F" w:rsidRPr="00A324D9">
              <w:rPr>
                <w:noProof/>
                <w:sz w:val="22"/>
                <w:szCs w:val="22"/>
              </w:rPr>
              <w:t xml:space="preserve"> of normative documents </w:t>
            </w:r>
            <w:r w:rsidR="00125F28">
              <w:rPr>
                <w:noProof/>
                <w:sz w:val="22"/>
                <w:szCs w:val="22"/>
              </w:rPr>
              <w:t xml:space="preserve">and standards </w:t>
            </w:r>
            <w:r w:rsidR="008B732F" w:rsidRPr="00A324D9">
              <w:rPr>
                <w:noProof/>
                <w:sz w:val="22"/>
                <w:szCs w:val="22"/>
              </w:rPr>
              <w:t xml:space="preserve">related to utilization, losses and technological consumption of fuel resources </w:t>
            </w:r>
            <w:r w:rsidR="00125F28">
              <w:rPr>
                <w:noProof/>
                <w:sz w:val="22"/>
                <w:szCs w:val="22"/>
              </w:rPr>
              <w:t>by</w:t>
            </w:r>
            <w:r w:rsidR="008B732F" w:rsidRPr="00A324D9">
              <w:rPr>
                <w:noProof/>
                <w:sz w:val="22"/>
                <w:szCs w:val="22"/>
              </w:rPr>
              <w:t xml:space="preserve"> all public entities.</w:t>
            </w:r>
            <w:r>
              <w:rPr>
                <w:noProof/>
                <w:sz w:val="22"/>
                <w:szCs w:val="22"/>
              </w:rPr>
              <w:t xml:space="preserve"> </w:t>
            </w:r>
            <w:r w:rsidR="004823DB">
              <w:rPr>
                <w:noProof/>
                <w:sz w:val="22"/>
                <w:szCs w:val="22"/>
              </w:rPr>
              <w:t>The</w:t>
            </w:r>
            <w:r w:rsidR="006174A6">
              <w:rPr>
                <w:noProof/>
                <w:sz w:val="22"/>
                <w:szCs w:val="22"/>
              </w:rPr>
              <w:t xml:space="preserve"> </w:t>
            </w:r>
            <w:r w:rsidR="004823DB">
              <w:rPr>
                <w:noProof/>
                <w:sz w:val="22"/>
                <w:szCs w:val="22"/>
              </w:rPr>
              <w:t>following</w:t>
            </w:r>
            <w:r w:rsidR="006174A6">
              <w:rPr>
                <w:noProof/>
                <w:sz w:val="22"/>
                <w:szCs w:val="22"/>
              </w:rPr>
              <w:t xml:space="preserve"> </w:t>
            </w:r>
            <w:r w:rsidR="000D1392">
              <w:rPr>
                <w:noProof/>
                <w:sz w:val="22"/>
                <w:szCs w:val="22"/>
              </w:rPr>
              <w:t>donor-funded initiatives</w:t>
            </w:r>
            <w:r w:rsidR="006174A6">
              <w:rPr>
                <w:noProof/>
                <w:sz w:val="22"/>
                <w:szCs w:val="22"/>
              </w:rPr>
              <w:t xml:space="preserve"> provide critical support to the Government for implementation of the State Programes</w:t>
            </w:r>
            <w:r w:rsidR="000D1392">
              <w:rPr>
                <w:noProof/>
                <w:sz w:val="22"/>
                <w:szCs w:val="22"/>
              </w:rPr>
              <w:t>:</w:t>
            </w:r>
          </w:p>
          <w:p w14:paraId="747C6FC4" w14:textId="77777777" w:rsidR="002D6858" w:rsidRDefault="002D6858" w:rsidP="008B732F">
            <w:pPr>
              <w:spacing w:after="80"/>
              <w:outlineLvl w:val="0"/>
              <w:rPr>
                <w:noProof/>
                <w:sz w:val="22"/>
                <w:szCs w:val="22"/>
                <w:u w:val="single"/>
              </w:rPr>
            </w:pPr>
            <w:r w:rsidRPr="002C310F">
              <w:rPr>
                <w:i/>
                <w:noProof/>
                <w:sz w:val="22"/>
                <w:szCs w:val="22"/>
              </w:rPr>
              <w:t>EU Energy Sector Reform Program</w:t>
            </w:r>
            <w:r w:rsidR="000D1392">
              <w:rPr>
                <w:noProof/>
                <w:sz w:val="22"/>
                <w:szCs w:val="22"/>
              </w:rPr>
              <w:t xml:space="preserve"> </w:t>
            </w:r>
            <w:r w:rsidR="006174A6">
              <w:rPr>
                <w:noProof/>
                <w:sz w:val="22"/>
                <w:szCs w:val="22"/>
              </w:rPr>
              <w:t>(2</w:t>
            </w:r>
            <w:r w:rsidR="006174A6" w:rsidRPr="006174A6">
              <w:rPr>
                <w:noProof/>
                <w:sz w:val="22"/>
                <w:szCs w:val="22"/>
                <w:vertAlign w:val="superscript"/>
              </w:rPr>
              <w:t>nd</w:t>
            </w:r>
            <w:r w:rsidR="006174A6">
              <w:rPr>
                <w:noProof/>
                <w:sz w:val="22"/>
                <w:szCs w:val="22"/>
              </w:rPr>
              <w:t xml:space="preserve"> Phase for 2014-2020 is under development) </w:t>
            </w:r>
            <w:r w:rsidR="000D1392">
              <w:rPr>
                <w:noProof/>
                <w:sz w:val="22"/>
                <w:szCs w:val="22"/>
              </w:rPr>
              <w:t>aims to</w:t>
            </w:r>
            <w:r w:rsidRPr="00A324D9">
              <w:rPr>
                <w:noProof/>
                <w:sz w:val="22"/>
                <w:szCs w:val="22"/>
              </w:rPr>
              <w:t xml:space="preserve"> develop </w:t>
            </w:r>
            <w:r w:rsidR="000D1392">
              <w:rPr>
                <w:noProof/>
                <w:sz w:val="22"/>
                <w:szCs w:val="22"/>
              </w:rPr>
              <w:t>an</w:t>
            </w:r>
            <w:r w:rsidRPr="00A324D9">
              <w:rPr>
                <w:noProof/>
                <w:sz w:val="22"/>
                <w:szCs w:val="22"/>
              </w:rPr>
              <w:t xml:space="preserve"> integrated and transparent energy strategy that covers the supply, transportation, and use of all energy resources</w:t>
            </w:r>
            <w:r>
              <w:rPr>
                <w:noProof/>
                <w:sz w:val="22"/>
                <w:szCs w:val="22"/>
              </w:rPr>
              <w:t xml:space="preserve"> in Azerbaijan</w:t>
            </w:r>
            <w:r w:rsidRPr="00A324D9">
              <w:rPr>
                <w:noProof/>
                <w:sz w:val="22"/>
                <w:szCs w:val="22"/>
              </w:rPr>
              <w:t>. I</w:t>
            </w:r>
            <w:r w:rsidR="006174A6">
              <w:rPr>
                <w:noProof/>
                <w:sz w:val="22"/>
                <w:szCs w:val="22"/>
              </w:rPr>
              <w:t>n its 2</w:t>
            </w:r>
            <w:r w:rsidR="006174A6" w:rsidRPr="006174A6">
              <w:rPr>
                <w:noProof/>
                <w:sz w:val="22"/>
                <w:szCs w:val="22"/>
                <w:vertAlign w:val="superscript"/>
              </w:rPr>
              <w:t>nd</w:t>
            </w:r>
            <w:r w:rsidR="006174A6">
              <w:rPr>
                <w:noProof/>
                <w:sz w:val="22"/>
                <w:szCs w:val="22"/>
              </w:rPr>
              <w:t xml:space="preserve"> phase in 2014-2020 the Program will</w:t>
            </w:r>
            <w:r w:rsidRPr="00A324D9">
              <w:rPr>
                <w:noProof/>
                <w:sz w:val="22"/>
                <w:szCs w:val="22"/>
              </w:rPr>
              <w:t xml:space="preserve"> assist with identifying and enacting policies and legislative and institutional reforms to promote energy efficiency, energy savings and the greater use of renewable energy sources</w:t>
            </w:r>
            <w:r w:rsidR="000D1392">
              <w:rPr>
                <w:noProof/>
                <w:sz w:val="22"/>
                <w:szCs w:val="22"/>
              </w:rPr>
              <w:t xml:space="preserve"> in all oil&amp;gas end-use sectos</w:t>
            </w:r>
            <w:r w:rsidRPr="00A324D9">
              <w:rPr>
                <w:noProof/>
                <w:sz w:val="22"/>
                <w:szCs w:val="22"/>
              </w:rPr>
              <w:t>.</w:t>
            </w:r>
          </w:p>
          <w:p w14:paraId="64D8B83F" w14:textId="77777777" w:rsidR="002D6858" w:rsidRDefault="002D6858" w:rsidP="008B732F">
            <w:pPr>
              <w:spacing w:after="80"/>
              <w:outlineLvl w:val="0"/>
              <w:rPr>
                <w:noProof/>
                <w:sz w:val="22"/>
                <w:szCs w:val="22"/>
              </w:rPr>
            </w:pPr>
            <w:r w:rsidRPr="002C310F">
              <w:rPr>
                <w:i/>
                <w:noProof/>
                <w:sz w:val="22"/>
                <w:szCs w:val="22"/>
              </w:rPr>
              <w:t>UNDP Promoting Development of Sustainable Energy</w:t>
            </w:r>
            <w:r w:rsidRPr="00A324D9">
              <w:rPr>
                <w:noProof/>
                <w:sz w:val="22"/>
                <w:szCs w:val="22"/>
              </w:rPr>
              <w:t xml:space="preserve"> </w:t>
            </w:r>
            <w:r w:rsidRPr="004F1C7B">
              <w:rPr>
                <w:i/>
                <w:noProof/>
                <w:sz w:val="22"/>
                <w:szCs w:val="22"/>
              </w:rPr>
              <w:t>Project</w:t>
            </w:r>
            <w:r>
              <w:rPr>
                <w:noProof/>
                <w:sz w:val="22"/>
                <w:szCs w:val="22"/>
              </w:rPr>
              <w:t xml:space="preserve"> </w:t>
            </w:r>
            <w:r w:rsidR="000D1392">
              <w:rPr>
                <w:noProof/>
                <w:sz w:val="22"/>
                <w:szCs w:val="22"/>
              </w:rPr>
              <w:t xml:space="preserve">supports </w:t>
            </w:r>
            <w:r>
              <w:rPr>
                <w:noProof/>
                <w:sz w:val="22"/>
                <w:szCs w:val="22"/>
              </w:rPr>
              <w:t>develop</w:t>
            </w:r>
            <w:r w:rsidR="000D1392">
              <w:rPr>
                <w:noProof/>
                <w:sz w:val="22"/>
                <w:szCs w:val="22"/>
              </w:rPr>
              <w:t>ment of</w:t>
            </w:r>
            <w:r w:rsidRPr="00A324D9">
              <w:rPr>
                <w:noProof/>
                <w:sz w:val="22"/>
                <w:szCs w:val="22"/>
              </w:rPr>
              <w:t xml:space="preserve"> conducive policy and regulatory framework for </w:t>
            </w:r>
            <w:r w:rsidR="000D1392">
              <w:rPr>
                <w:noProof/>
                <w:sz w:val="22"/>
                <w:szCs w:val="22"/>
              </w:rPr>
              <w:t>energy efficiency and renewable energy</w:t>
            </w:r>
            <w:r w:rsidRPr="00A324D9">
              <w:rPr>
                <w:noProof/>
                <w:sz w:val="22"/>
                <w:szCs w:val="22"/>
              </w:rPr>
              <w:t>, build</w:t>
            </w:r>
            <w:r>
              <w:rPr>
                <w:noProof/>
                <w:sz w:val="22"/>
                <w:szCs w:val="22"/>
              </w:rPr>
              <w:t>s</w:t>
            </w:r>
            <w:r w:rsidRPr="00A324D9">
              <w:rPr>
                <w:noProof/>
                <w:sz w:val="22"/>
                <w:szCs w:val="22"/>
              </w:rPr>
              <w:t xml:space="preserve"> technical</w:t>
            </w:r>
            <w:r>
              <w:rPr>
                <w:noProof/>
                <w:sz w:val="22"/>
                <w:szCs w:val="22"/>
              </w:rPr>
              <w:t xml:space="preserve"> </w:t>
            </w:r>
            <w:r w:rsidR="006174A6">
              <w:rPr>
                <w:noProof/>
                <w:sz w:val="22"/>
                <w:szCs w:val="22"/>
              </w:rPr>
              <w:t xml:space="preserve">and institutional </w:t>
            </w:r>
            <w:r w:rsidRPr="00A324D9">
              <w:rPr>
                <w:noProof/>
                <w:sz w:val="22"/>
                <w:szCs w:val="22"/>
              </w:rPr>
              <w:t xml:space="preserve">capacities </w:t>
            </w:r>
            <w:r w:rsidR="006174A6">
              <w:rPr>
                <w:noProof/>
                <w:sz w:val="22"/>
                <w:szCs w:val="22"/>
              </w:rPr>
              <w:t>for polic</w:t>
            </w:r>
            <w:r w:rsidR="00125F28">
              <w:rPr>
                <w:noProof/>
                <w:sz w:val="22"/>
                <w:szCs w:val="22"/>
              </w:rPr>
              <w:t>y</w:t>
            </w:r>
            <w:r w:rsidR="006174A6">
              <w:rPr>
                <w:noProof/>
                <w:sz w:val="22"/>
                <w:szCs w:val="22"/>
              </w:rPr>
              <w:t xml:space="preserve"> enforcement, </w:t>
            </w:r>
            <w:r w:rsidRPr="00A324D9">
              <w:rPr>
                <w:noProof/>
                <w:sz w:val="22"/>
                <w:szCs w:val="22"/>
              </w:rPr>
              <w:t xml:space="preserve">and </w:t>
            </w:r>
            <w:r w:rsidR="006174A6">
              <w:rPr>
                <w:noProof/>
                <w:sz w:val="22"/>
                <w:szCs w:val="22"/>
              </w:rPr>
              <w:t xml:space="preserve">facilitates </w:t>
            </w:r>
            <w:r w:rsidRPr="00A324D9">
              <w:rPr>
                <w:noProof/>
                <w:sz w:val="22"/>
                <w:szCs w:val="22"/>
              </w:rPr>
              <w:t xml:space="preserve">implementation of </w:t>
            </w:r>
            <w:r w:rsidR="006174A6">
              <w:rPr>
                <w:noProof/>
                <w:sz w:val="22"/>
                <w:szCs w:val="22"/>
              </w:rPr>
              <w:t>demonstration</w:t>
            </w:r>
            <w:r w:rsidRPr="00A324D9">
              <w:rPr>
                <w:noProof/>
                <w:sz w:val="22"/>
                <w:szCs w:val="22"/>
              </w:rPr>
              <w:t xml:space="preserve"> sustainable energy projects</w:t>
            </w:r>
            <w:r w:rsidR="006174A6">
              <w:rPr>
                <w:noProof/>
                <w:sz w:val="22"/>
                <w:szCs w:val="22"/>
              </w:rPr>
              <w:t xml:space="preserve"> (</w:t>
            </w:r>
            <w:r w:rsidR="00125F28">
              <w:rPr>
                <w:noProof/>
                <w:sz w:val="22"/>
                <w:szCs w:val="22"/>
              </w:rPr>
              <w:t xml:space="preserve">such as </w:t>
            </w:r>
            <w:r w:rsidR="006174A6">
              <w:rPr>
                <w:noProof/>
                <w:sz w:val="22"/>
                <w:szCs w:val="22"/>
              </w:rPr>
              <w:t>small hydro power)</w:t>
            </w:r>
            <w:r w:rsidRPr="00A324D9">
              <w:rPr>
                <w:noProof/>
                <w:sz w:val="22"/>
                <w:szCs w:val="22"/>
              </w:rPr>
              <w:t>.</w:t>
            </w:r>
          </w:p>
          <w:p w14:paraId="69214770" w14:textId="77777777" w:rsidR="00764F92" w:rsidRDefault="00764F92" w:rsidP="008B732F">
            <w:pPr>
              <w:spacing w:after="80"/>
              <w:outlineLvl w:val="0"/>
              <w:rPr>
                <w:noProof/>
                <w:sz w:val="22"/>
                <w:szCs w:val="22"/>
                <w:u w:val="single"/>
              </w:rPr>
            </w:pPr>
            <w:r w:rsidRPr="002C310F">
              <w:rPr>
                <w:i/>
                <w:noProof/>
                <w:sz w:val="22"/>
                <w:szCs w:val="22"/>
              </w:rPr>
              <w:t>ADB Economics of Climate Change in Central and West Asia:</w:t>
            </w:r>
            <w:r w:rsidRPr="00A324D9">
              <w:rPr>
                <w:noProof/>
                <w:sz w:val="22"/>
                <w:szCs w:val="22"/>
              </w:rPr>
              <w:t xml:space="preserve"> one of the outputs of this </w:t>
            </w:r>
            <w:r>
              <w:rPr>
                <w:noProof/>
                <w:sz w:val="22"/>
                <w:szCs w:val="22"/>
              </w:rPr>
              <w:t>on-going</w:t>
            </w:r>
            <w:r w:rsidRPr="00A324D9">
              <w:rPr>
                <w:noProof/>
                <w:sz w:val="22"/>
                <w:szCs w:val="22"/>
              </w:rPr>
              <w:t xml:space="preserve"> </w:t>
            </w:r>
            <w:r w:rsidRPr="00A324D9">
              <w:rPr>
                <w:noProof/>
                <w:sz w:val="22"/>
                <w:szCs w:val="22"/>
              </w:rPr>
              <w:lastRenderedPageBreak/>
              <w:t xml:space="preserve">regional ADB-supported initiative will be the estimation of the costs of climate change mitigation measures in Azerbaijan’s </w:t>
            </w:r>
            <w:r>
              <w:rPr>
                <w:noProof/>
                <w:sz w:val="22"/>
                <w:szCs w:val="22"/>
              </w:rPr>
              <w:t>oil&amp;gas end-use</w:t>
            </w:r>
            <w:r w:rsidRPr="00A324D9">
              <w:rPr>
                <w:noProof/>
                <w:sz w:val="22"/>
                <w:szCs w:val="22"/>
              </w:rPr>
              <w:t xml:space="preserve"> sector</w:t>
            </w:r>
            <w:r>
              <w:rPr>
                <w:noProof/>
                <w:sz w:val="22"/>
                <w:szCs w:val="22"/>
              </w:rPr>
              <w:t>s</w:t>
            </w:r>
            <w:r w:rsidRPr="00A324D9">
              <w:rPr>
                <w:noProof/>
                <w:sz w:val="22"/>
                <w:szCs w:val="22"/>
              </w:rPr>
              <w:t>, as well as the assessment of the policy and measures needed for low-carbon growth, including market-based mechanisms, energy price setting, carbon taxation, subsidy removal, and urban planning.</w:t>
            </w:r>
          </w:p>
          <w:p w14:paraId="3CBE8BDF" w14:textId="77777777" w:rsidR="000D1392" w:rsidRPr="006F7344" w:rsidRDefault="000D1392" w:rsidP="000D1392">
            <w:pPr>
              <w:spacing w:after="80"/>
              <w:outlineLvl w:val="0"/>
              <w:rPr>
                <w:b/>
                <w:noProof/>
                <w:sz w:val="22"/>
                <w:szCs w:val="22"/>
              </w:rPr>
            </w:pPr>
            <w:r w:rsidRPr="006F7344">
              <w:rPr>
                <w:b/>
                <w:noProof/>
                <w:sz w:val="22"/>
                <w:szCs w:val="22"/>
              </w:rPr>
              <w:t>BAU Component 3: Implementation of mitigation actions in the oil&amp;gas end-use sectors</w:t>
            </w:r>
          </w:p>
          <w:p w14:paraId="7508D156" w14:textId="77777777" w:rsidR="006174A6" w:rsidRPr="006F7344" w:rsidRDefault="006F7344" w:rsidP="00C403AC">
            <w:pPr>
              <w:spacing w:after="80"/>
              <w:outlineLvl w:val="0"/>
              <w:rPr>
                <w:noProof/>
                <w:sz w:val="22"/>
                <w:szCs w:val="22"/>
              </w:rPr>
            </w:pPr>
            <w:r>
              <w:rPr>
                <w:noProof/>
                <w:sz w:val="22"/>
                <w:szCs w:val="22"/>
              </w:rPr>
              <w:t xml:space="preserve">The national oil&amp; gas company, SOCAR, has been </w:t>
            </w:r>
            <w:r w:rsidRPr="00DA6468">
              <w:rPr>
                <w:noProof/>
                <w:sz w:val="22"/>
                <w:szCs w:val="22"/>
              </w:rPr>
              <w:t>at the forefront of national climate change mitigation actions</w:t>
            </w:r>
            <w:r>
              <w:rPr>
                <w:noProof/>
                <w:sz w:val="22"/>
                <w:szCs w:val="22"/>
              </w:rPr>
              <w:t>. Apart from ad</w:t>
            </w:r>
            <w:r w:rsidR="00125F28">
              <w:rPr>
                <w:noProof/>
                <w:sz w:val="22"/>
                <w:szCs w:val="22"/>
              </w:rPr>
              <w:t>o</w:t>
            </w:r>
            <w:r>
              <w:rPr>
                <w:noProof/>
                <w:sz w:val="22"/>
                <w:szCs w:val="22"/>
              </w:rPr>
              <w:t>pting bold targets and implementing GH</w:t>
            </w:r>
            <w:r w:rsidR="00125F28">
              <w:rPr>
                <w:noProof/>
                <w:sz w:val="22"/>
                <w:szCs w:val="22"/>
              </w:rPr>
              <w:t>G</w:t>
            </w:r>
            <w:r>
              <w:rPr>
                <w:noProof/>
                <w:sz w:val="22"/>
                <w:szCs w:val="22"/>
              </w:rPr>
              <w:t xml:space="preserve"> emission re</w:t>
            </w:r>
            <w:r w:rsidR="00125F28">
              <w:rPr>
                <w:noProof/>
                <w:sz w:val="22"/>
                <w:szCs w:val="22"/>
              </w:rPr>
              <w:t>d</w:t>
            </w:r>
            <w:r>
              <w:rPr>
                <w:noProof/>
                <w:sz w:val="22"/>
                <w:szCs w:val="22"/>
              </w:rPr>
              <w:t xml:space="preserve">uction </w:t>
            </w:r>
            <w:r w:rsidR="00125F28">
              <w:rPr>
                <w:noProof/>
                <w:sz w:val="22"/>
                <w:szCs w:val="22"/>
              </w:rPr>
              <w:t>measuress internally, the company is implementing several initiatives to promote more efficient and clean</w:t>
            </w:r>
            <w:r w:rsidR="004A7480">
              <w:rPr>
                <w:noProof/>
                <w:sz w:val="22"/>
                <w:szCs w:val="22"/>
              </w:rPr>
              <w:t>e</w:t>
            </w:r>
            <w:r w:rsidR="00125F28">
              <w:rPr>
                <w:noProof/>
                <w:sz w:val="22"/>
                <w:szCs w:val="22"/>
              </w:rPr>
              <w:t xml:space="preserve">r </w:t>
            </w:r>
            <w:r w:rsidR="004A7480">
              <w:rPr>
                <w:noProof/>
                <w:sz w:val="22"/>
                <w:szCs w:val="22"/>
              </w:rPr>
              <w:t>oil&amp;gas</w:t>
            </w:r>
            <w:r w:rsidR="00125F28">
              <w:rPr>
                <w:noProof/>
                <w:sz w:val="22"/>
                <w:szCs w:val="22"/>
              </w:rPr>
              <w:t xml:space="preserve"> end-use </w:t>
            </w:r>
            <w:r w:rsidR="004A7480">
              <w:rPr>
                <w:noProof/>
                <w:sz w:val="22"/>
                <w:szCs w:val="22"/>
              </w:rPr>
              <w:t xml:space="preserve">technologies and </w:t>
            </w:r>
            <w:r w:rsidR="00125F28">
              <w:rPr>
                <w:noProof/>
                <w:sz w:val="22"/>
                <w:szCs w:val="22"/>
              </w:rPr>
              <w:t>practices amo</w:t>
            </w:r>
            <w:r w:rsidR="004A7480">
              <w:rPr>
                <w:noProof/>
                <w:sz w:val="22"/>
                <w:szCs w:val="22"/>
              </w:rPr>
              <w:t>n</w:t>
            </w:r>
            <w:r w:rsidR="00125F28">
              <w:rPr>
                <w:noProof/>
                <w:sz w:val="22"/>
                <w:szCs w:val="22"/>
              </w:rPr>
              <w:t xml:space="preserve">g its customers and employees. </w:t>
            </w:r>
            <w:r w:rsidRPr="00DA6468">
              <w:rPr>
                <w:noProof/>
                <w:sz w:val="22"/>
                <w:szCs w:val="22"/>
              </w:rPr>
              <w:t xml:space="preserve"> </w:t>
            </w:r>
            <w:r>
              <w:rPr>
                <w:noProof/>
                <w:sz w:val="22"/>
                <w:szCs w:val="22"/>
              </w:rPr>
              <w:t xml:space="preserve">  </w:t>
            </w:r>
          </w:p>
          <w:p w14:paraId="6E53BC96" w14:textId="77777777" w:rsidR="000D1392" w:rsidRDefault="008B732F" w:rsidP="00C403AC">
            <w:pPr>
              <w:spacing w:after="80"/>
              <w:outlineLvl w:val="0"/>
              <w:rPr>
                <w:noProof/>
                <w:sz w:val="22"/>
                <w:szCs w:val="22"/>
              </w:rPr>
            </w:pPr>
            <w:r w:rsidRPr="006174A6">
              <w:rPr>
                <w:noProof/>
                <w:sz w:val="22"/>
                <w:szCs w:val="22"/>
              </w:rPr>
              <w:t>SOCAR’s demand-side management program for natural gas users</w:t>
            </w:r>
            <w:r>
              <w:rPr>
                <w:noProof/>
                <w:sz w:val="22"/>
                <w:szCs w:val="22"/>
              </w:rPr>
              <w:t xml:space="preserve"> supports</w:t>
            </w:r>
            <w:r w:rsidRPr="00A324D9">
              <w:rPr>
                <w:noProof/>
                <w:sz w:val="22"/>
                <w:szCs w:val="22"/>
              </w:rPr>
              <w:t xml:space="preserve"> installation of meters and smart-cards</w:t>
            </w:r>
            <w:r>
              <w:rPr>
                <w:noProof/>
                <w:sz w:val="22"/>
                <w:szCs w:val="22"/>
              </w:rPr>
              <w:t xml:space="preserve"> for individual and industrial oil&amp;gas end-users</w:t>
            </w:r>
            <w:r w:rsidRPr="00A324D9">
              <w:rPr>
                <w:noProof/>
                <w:sz w:val="22"/>
                <w:szCs w:val="22"/>
              </w:rPr>
              <w:t xml:space="preserve">. </w:t>
            </w:r>
            <w:r w:rsidR="00EF03E8">
              <w:rPr>
                <w:noProof/>
                <w:sz w:val="22"/>
                <w:szCs w:val="22"/>
              </w:rPr>
              <w:t>The company</w:t>
            </w:r>
            <w:r w:rsidRPr="00A324D9">
              <w:rPr>
                <w:noProof/>
                <w:sz w:val="22"/>
                <w:szCs w:val="22"/>
              </w:rPr>
              <w:t xml:space="preserve"> has set up an ecological park to popularize zero-carbon </w:t>
            </w:r>
            <w:r w:rsidR="00EF03E8">
              <w:rPr>
                <w:noProof/>
                <w:sz w:val="22"/>
                <w:szCs w:val="22"/>
              </w:rPr>
              <w:t>technologies, such as wind, solar and energy efficient buildings. SOCAR also announced the plans to act as a</w:t>
            </w:r>
            <w:r w:rsidR="00DA6468" w:rsidRPr="006174A6">
              <w:rPr>
                <w:noProof/>
                <w:sz w:val="22"/>
                <w:szCs w:val="22"/>
              </w:rPr>
              <w:t xml:space="preserve"> RES</w:t>
            </w:r>
            <w:r w:rsidR="00EF03E8">
              <w:rPr>
                <w:noProof/>
                <w:sz w:val="22"/>
                <w:szCs w:val="22"/>
              </w:rPr>
              <w:t xml:space="preserve">-project developer and </w:t>
            </w:r>
            <w:r w:rsidR="006F7344">
              <w:rPr>
                <w:noProof/>
                <w:sz w:val="22"/>
                <w:szCs w:val="22"/>
              </w:rPr>
              <w:t xml:space="preserve">has already started </w:t>
            </w:r>
            <w:r w:rsidR="006174A6" w:rsidRPr="006174A6">
              <w:rPr>
                <w:noProof/>
                <w:sz w:val="22"/>
                <w:szCs w:val="22"/>
              </w:rPr>
              <w:t xml:space="preserve">with </w:t>
            </w:r>
            <w:r w:rsidR="00DA6468" w:rsidRPr="006174A6">
              <w:rPr>
                <w:noProof/>
                <w:sz w:val="22"/>
                <w:szCs w:val="22"/>
              </w:rPr>
              <w:t>supply</w:t>
            </w:r>
            <w:r w:rsidR="006F7344">
              <w:rPr>
                <w:noProof/>
                <w:sz w:val="22"/>
                <w:szCs w:val="22"/>
              </w:rPr>
              <w:t xml:space="preserve">ing RES-based energy for </w:t>
            </w:r>
            <w:r w:rsidR="00DA6468" w:rsidRPr="006174A6">
              <w:rPr>
                <w:noProof/>
                <w:sz w:val="22"/>
                <w:szCs w:val="22"/>
              </w:rPr>
              <w:t>its own needs</w:t>
            </w:r>
            <w:r w:rsidR="00BF2473">
              <w:rPr>
                <w:noProof/>
                <w:sz w:val="22"/>
                <w:szCs w:val="22"/>
              </w:rPr>
              <w:t xml:space="preserve"> from</w:t>
            </w:r>
            <w:r w:rsidR="00EF03E8">
              <w:rPr>
                <w:noProof/>
                <w:sz w:val="22"/>
                <w:szCs w:val="22"/>
              </w:rPr>
              <w:t xml:space="preserve"> pilot</w:t>
            </w:r>
            <w:r w:rsidR="00DA6468" w:rsidRPr="006174A6">
              <w:rPr>
                <w:noProof/>
                <w:sz w:val="22"/>
                <w:szCs w:val="22"/>
              </w:rPr>
              <w:t xml:space="preserve"> </w:t>
            </w:r>
            <w:r w:rsidR="00EF03E8">
              <w:rPr>
                <w:noProof/>
                <w:sz w:val="22"/>
                <w:szCs w:val="22"/>
              </w:rPr>
              <w:t>40kW wind and 20kW solar projects</w:t>
            </w:r>
            <w:r w:rsidR="00BF2473">
              <w:rPr>
                <w:noProof/>
                <w:sz w:val="22"/>
                <w:szCs w:val="22"/>
              </w:rPr>
              <w:t xml:space="preserve">. The company is </w:t>
            </w:r>
            <w:r w:rsidR="00EF03E8">
              <w:rPr>
                <w:noProof/>
                <w:sz w:val="22"/>
                <w:szCs w:val="22"/>
              </w:rPr>
              <w:t>designing a</w:t>
            </w:r>
            <w:r w:rsidR="00DA6468" w:rsidRPr="006174A6">
              <w:rPr>
                <w:noProof/>
                <w:sz w:val="22"/>
                <w:szCs w:val="22"/>
              </w:rPr>
              <w:t xml:space="preserve"> 1.5 MW </w:t>
            </w:r>
            <w:r w:rsidR="00EF03E8">
              <w:rPr>
                <w:noProof/>
                <w:sz w:val="22"/>
                <w:szCs w:val="22"/>
              </w:rPr>
              <w:t>w</w:t>
            </w:r>
            <w:r w:rsidR="00DA6468" w:rsidRPr="006174A6">
              <w:rPr>
                <w:noProof/>
                <w:sz w:val="22"/>
                <w:szCs w:val="22"/>
              </w:rPr>
              <w:t xml:space="preserve">ind </w:t>
            </w:r>
            <w:r w:rsidR="005A5103">
              <w:rPr>
                <w:noProof/>
                <w:sz w:val="22"/>
                <w:szCs w:val="22"/>
              </w:rPr>
              <w:t>p</w:t>
            </w:r>
            <w:r w:rsidR="00DA6468" w:rsidRPr="006174A6">
              <w:rPr>
                <w:noProof/>
                <w:sz w:val="22"/>
                <w:szCs w:val="22"/>
              </w:rPr>
              <w:t xml:space="preserve">ark on Jilov island </w:t>
            </w:r>
            <w:r w:rsidR="00BF2473">
              <w:rPr>
                <w:noProof/>
                <w:sz w:val="22"/>
                <w:szCs w:val="22"/>
              </w:rPr>
              <w:t xml:space="preserve">which will </w:t>
            </w:r>
            <w:r w:rsidR="00EF03E8">
              <w:rPr>
                <w:noProof/>
                <w:sz w:val="22"/>
                <w:szCs w:val="22"/>
              </w:rPr>
              <w:t>provide clean energy</w:t>
            </w:r>
            <w:r w:rsidR="00BF2473">
              <w:rPr>
                <w:noProof/>
                <w:sz w:val="22"/>
                <w:szCs w:val="22"/>
              </w:rPr>
              <w:t xml:space="preserve"> </w:t>
            </w:r>
            <w:r w:rsidR="00EF03E8">
              <w:rPr>
                <w:noProof/>
                <w:sz w:val="22"/>
                <w:szCs w:val="22"/>
              </w:rPr>
              <w:t xml:space="preserve">to </w:t>
            </w:r>
            <w:r w:rsidR="005A5103">
              <w:rPr>
                <w:noProof/>
                <w:sz w:val="22"/>
                <w:szCs w:val="22"/>
              </w:rPr>
              <w:t xml:space="preserve">the </w:t>
            </w:r>
            <w:r w:rsidR="00EF03E8">
              <w:rPr>
                <w:noProof/>
                <w:sz w:val="22"/>
                <w:szCs w:val="22"/>
              </w:rPr>
              <w:t>island</w:t>
            </w:r>
            <w:r w:rsidR="00BF2473">
              <w:rPr>
                <w:noProof/>
                <w:sz w:val="22"/>
                <w:szCs w:val="22"/>
              </w:rPr>
              <w:t>’</w:t>
            </w:r>
            <w:r w:rsidR="00EF03E8">
              <w:rPr>
                <w:noProof/>
                <w:sz w:val="22"/>
                <w:szCs w:val="22"/>
              </w:rPr>
              <w:t>s</w:t>
            </w:r>
            <w:r w:rsidR="00DA6468" w:rsidRPr="006174A6">
              <w:rPr>
                <w:noProof/>
                <w:sz w:val="22"/>
                <w:szCs w:val="22"/>
              </w:rPr>
              <w:t xml:space="preserve"> population</w:t>
            </w:r>
            <w:r w:rsidR="005A5103">
              <w:rPr>
                <w:noProof/>
                <w:sz w:val="22"/>
                <w:szCs w:val="22"/>
              </w:rPr>
              <w:t xml:space="preserve"> of </w:t>
            </w:r>
            <w:r w:rsidR="00EF03E8">
              <w:rPr>
                <w:noProof/>
                <w:sz w:val="22"/>
                <w:szCs w:val="22"/>
              </w:rPr>
              <w:t xml:space="preserve"> </w:t>
            </w:r>
            <w:r w:rsidR="005A5103" w:rsidRPr="006174A6">
              <w:rPr>
                <w:noProof/>
                <w:sz w:val="22"/>
                <w:szCs w:val="22"/>
              </w:rPr>
              <w:t>2</w:t>
            </w:r>
            <w:r w:rsidR="005A5103">
              <w:rPr>
                <w:noProof/>
                <w:sz w:val="22"/>
                <w:szCs w:val="22"/>
              </w:rPr>
              <w:t>,</w:t>
            </w:r>
            <w:r w:rsidR="005A5103" w:rsidRPr="006174A6">
              <w:rPr>
                <w:noProof/>
                <w:sz w:val="22"/>
                <w:szCs w:val="22"/>
              </w:rPr>
              <w:t xml:space="preserve">000 </w:t>
            </w:r>
            <w:r w:rsidR="00EF03E8">
              <w:rPr>
                <w:noProof/>
                <w:sz w:val="22"/>
                <w:szCs w:val="22"/>
              </w:rPr>
              <w:t xml:space="preserve">and </w:t>
            </w:r>
            <w:r w:rsidR="00C56353">
              <w:rPr>
                <w:noProof/>
                <w:sz w:val="22"/>
                <w:szCs w:val="22"/>
              </w:rPr>
              <w:t>SOCAR’s premises and production</w:t>
            </w:r>
            <w:r w:rsidR="00EF03E8">
              <w:rPr>
                <w:noProof/>
                <w:sz w:val="22"/>
                <w:szCs w:val="22"/>
              </w:rPr>
              <w:t xml:space="preserve"> facilities</w:t>
            </w:r>
            <w:r w:rsidR="00C56353">
              <w:rPr>
                <w:noProof/>
                <w:sz w:val="22"/>
                <w:szCs w:val="22"/>
              </w:rPr>
              <w:t xml:space="preserve"> </w:t>
            </w:r>
            <w:r w:rsidR="004F1C7B">
              <w:rPr>
                <w:noProof/>
                <w:sz w:val="22"/>
                <w:szCs w:val="22"/>
              </w:rPr>
              <w:t xml:space="preserve">located </w:t>
            </w:r>
            <w:r w:rsidR="00C56353">
              <w:rPr>
                <w:noProof/>
                <w:sz w:val="22"/>
                <w:szCs w:val="22"/>
              </w:rPr>
              <w:t>there</w:t>
            </w:r>
            <w:r w:rsidR="00DA6468" w:rsidRPr="006174A6">
              <w:rPr>
                <w:noProof/>
                <w:sz w:val="22"/>
                <w:szCs w:val="22"/>
              </w:rPr>
              <w:t>.</w:t>
            </w:r>
            <w:r w:rsidR="00C56353">
              <w:rPr>
                <w:noProof/>
                <w:sz w:val="22"/>
                <w:szCs w:val="22"/>
              </w:rPr>
              <w:t xml:space="preserve"> </w:t>
            </w:r>
            <w:r w:rsidR="005A5103">
              <w:rPr>
                <w:noProof/>
                <w:sz w:val="22"/>
                <w:szCs w:val="22"/>
              </w:rPr>
              <w:t>The c</w:t>
            </w:r>
            <w:r w:rsidR="00BF2473">
              <w:rPr>
                <w:noProof/>
                <w:sz w:val="22"/>
                <w:szCs w:val="22"/>
              </w:rPr>
              <w:t>ompany’s Climate Change Strategy envisages development of new w</w:t>
            </w:r>
            <w:r w:rsidR="00DA6468" w:rsidRPr="006174A6">
              <w:rPr>
                <w:noProof/>
                <w:sz w:val="22"/>
                <w:szCs w:val="22"/>
              </w:rPr>
              <w:t xml:space="preserve">ind parks </w:t>
            </w:r>
            <w:r w:rsidR="00BF2473">
              <w:rPr>
                <w:noProof/>
                <w:sz w:val="22"/>
                <w:szCs w:val="22"/>
              </w:rPr>
              <w:t xml:space="preserve">to provide electricity for its </w:t>
            </w:r>
            <w:r w:rsidR="00DA6468" w:rsidRPr="006174A6">
              <w:rPr>
                <w:noProof/>
                <w:sz w:val="22"/>
                <w:szCs w:val="22"/>
              </w:rPr>
              <w:t xml:space="preserve">offshore </w:t>
            </w:r>
            <w:r w:rsidR="00BF2473">
              <w:rPr>
                <w:noProof/>
                <w:sz w:val="22"/>
                <w:szCs w:val="22"/>
              </w:rPr>
              <w:t>oil&amp;gas fields, as well as other renewable</w:t>
            </w:r>
            <w:r w:rsidR="00DA6468" w:rsidRPr="006174A6">
              <w:rPr>
                <w:noProof/>
                <w:sz w:val="22"/>
                <w:szCs w:val="22"/>
              </w:rPr>
              <w:t xml:space="preserve"> energy </w:t>
            </w:r>
            <w:r w:rsidR="00BF2473">
              <w:rPr>
                <w:noProof/>
                <w:sz w:val="22"/>
                <w:szCs w:val="22"/>
              </w:rPr>
              <w:t>projects</w:t>
            </w:r>
            <w:r w:rsidR="00DA6468" w:rsidRPr="006174A6">
              <w:rPr>
                <w:noProof/>
                <w:sz w:val="22"/>
                <w:szCs w:val="22"/>
              </w:rPr>
              <w:t xml:space="preserve"> for electricity and heating of </w:t>
            </w:r>
            <w:r w:rsidR="00BF2473">
              <w:rPr>
                <w:noProof/>
                <w:sz w:val="22"/>
                <w:szCs w:val="22"/>
              </w:rPr>
              <w:t>SOCAR’s own</w:t>
            </w:r>
            <w:r w:rsidR="00DA6468" w:rsidRPr="006174A6">
              <w:rPr>
                <w:noProof/>
                <w:sz w:val="22"/>
                <w:szCs w:val="22"/>
              </w:rPr>
              <w:t xml:space="preserve"> buildings and industrial premises</w:t>
            </w:r>
            <w:r w:rsidR="00BF2473">
              <w:rPr>
                <w:noProof/>
                <w:sz w:val="22"/>
                <w:szCs w:val="22"/>
              </w:rPr>
              <w:t xml:space="preserve"> in Baku and other cities. </w:t>
            </w:r>
            <w:r w:rsidR="00DA6468" w:rsidRPr="006174A6">
              <w:rPr>
                <w:noProof/>
                <w:sz w:val="22"/>
                <w:szCs w:val="22"/>
              </w:rPr>
              <w:t xml:space="preserve"> </w:t>
            </w:r>
          </w:p>
          <w:p w14:paraId="1D76B982" w14:textId="77777777" w:rsidR="008B732F" w:rsidRPr="00764F92" w:rsidRDefault="008B732F" w:rsidP="00C403AC">
            <w:pPr>
              <w:spacing w:after="80"/>
              <w:outlineLvl w:val="0"/>
              <w:rPr>
                <w:b/>
                <w:noProof/>
                <w:sz w:val="20"/>
                <w:szCs w:val="20"/>
              </w:rPr>
            </w:pPr>
            <w:r w:rsidRPr="00764F92">
              <w:rPr>
                <w:b/>
                <w:noProof/>
                <w:sz w:val="22"/>
                <w:szCs w:val="22"/>
              </w:rPr>
              <w:t xml:space="preserve">BAU Component 4: </w:t>
            </w:r>
            <w:r w:rsidR="00E014A4">
              <w:rPr>
                <w:b/>
                <w:noProof/>
                <w:sz w:val="22"/>
                <w:szCs w:val="22"/>
              </w:rPr>
              <w:t xml:space="preserve">Monitoring, Reporting and Verification (MRV) </w:t>
            </w:r>
            <w:r w:rsidRPr="00764F92">
              <w:rPr>
                <w:b/>
                <w:noProof/>
                <w:sz w:val="22"/>
                <w:szCs w:val="22"/>
              </w:rPr>
              <w:t xml:space="preserve">for mitigation actions in </w:t>
            </w:r>
            <w:r w:rsidR="002D6858" w:rsidRPr="00764F92">
              <w:rPr>
                <w:b/>
                <w:noProof/>
                <w:sz w:val="22"/>
                <w:szCs w:val="22"/>
              </w:rPr>
              <w:t>oil&amp;gas</w:t>
            </w:r>
            <w:r w:rsidRPr="00764F92">
              <w:rPr>
                <w:b/>
                <w:noProof/>
                <w:sz w:val="22"/>
                <w:szCs w:val="22"/>
              </w:rPr>
              <w:t xml:space="preserve"> end-use sector</w:t>
            </w:r>
            <w:r w:rsidRPr="00764F92">
              <w:rPr>
                <w:b/>
                <w:noProof/>
                <w:sz w:val="20"/>
                <w:szCs w:val="20"/>
              </w:rPr>
              <w:t>s</w:t>
            </w:r>
          </w:p>
          <w:p w14:paraId="6EB7832B" w14:textId="77777777" w:rsidR="002C310F" w:rsidRPr="00A324D9" w:rsidRDefault="00DA4996" w:rsidP="00C403AC">
            <w:pPr>
              <w:spacing w:after="80"/>
              <w:outlineLvl w:val="0"/>
              <w:rPr>
                <w:noProof/>
                <w:sz w:val="22"/>
                <w:szCs w:val="22"/>
              </w:rPr>
            </w:pPr>
            <w:r w:rsidRPr="002C310F">
              <w:rPr>
                <w:noProof/>
                <w:sz w:val="22"/>
                <w:szCs w:val="22"/>
              </w:rPr>
              <w:t xml:space="preserve">There is currently no </w:t>
            </w:r>
            <w:r w:rsidR="00E014A4">
              <w:rPr>
                <w:noProof/>
                <w:sz w:val="22"/>
                <w:szCs w:val="22"/>
              </w:rPr>
              <w:t xml:space="preserve">comprehensive </w:t>
            </w:r>
            <w:r w:rsidRPr="002C310F">
              <w:rPr>
                <w:noProof/>
                <w:sz w:val="22"/>
                <w:szCs w:val="22"/>
              </w:rPr>
              <w:t xml:space="preserve">system in place </w:t>
            </w:r>
            <w:r w:rsidR="00C56F5A">
              <w:rPr>
                <w:noProof/>
                <w:sz w:val="22"/>
                <w:szCs w:val="22"/>
              </w:rPr>
              <w:t>to</w:t>
            </w:r>
            <w:r w:rsidRPr="002C310F">
              <w:rPr>
                <w:noProof/>
                <w:sz w:val="22"/>
                <w:szCs w:val="22"/>
              </w:rPr>
              <w:t xml:space="preserve"> monitor</w:t>
            </w:r>
            <w:r w:rsidR="00C56F5A">
              <w:rPr>
                <w:noProof/>
                <w:sz w:val="22"/>
                <w:szCs w:val="22"/>
              </w:rPr>
              <w:t xml:space="preserve"> the </w:t>
            </w:r>
            <w:r w:rsidR="00E014A4">
              <w:rPr>
                <w:noProof/>
                <w:sz w:val="22"/>
                <w:szCs w:val="22"/>
              </w:rPr>
              <w:t xml:space="preserve">impact of </w:t>
            </w:r>
            <w:r w:rsidRPr="002C310F">
              <w:rPr>
                <w:noProof/>
                <w:sz w:val="22"/>
                <w:szCs w:val="22"/>
              </w:rPr>
              <w:t>mitigation measures</w:t>
            </w:r>
            <w:r w:rsidR="00E014A4">
              <w:rPr>
                <w:noProof/>
                <w:sz w:val="22"/>
                <w:szCs w:val="22"/>
              </w:rPr>
              <w:t xml:space="preserve"> at sectoral or national level</w:t>
            </w:r>
            <w:r w:rsidRPr="002C310F">
              <w:rPr>
                <w:noProof/>
                <w:sz w:val="22"/>
                <w:szCs w:val="22"/>
              </w:rPr>
              <w:t xml:space="preserve">. National GHG inventory prepared by the National Climate Change Center under MENR and SOCAR’s corporate GHG inventory </w:t>
            </w:r>
            <w:r w:rsidR="00E014A4">
              <w:rPr>
                <w:noProof/>
                <w:sz w:val="22"/>
                <w:szCs w:val="22"/>
              </w:rPr>
              <w:t xml:space="preserve">represent </w:t>
            </w:r>
            <w:r w:rsidRPr="002C310F">
              <w:rPr>
                <w:noProof/>
                <w:sz w:val="22"/>
                <w:szCs w:val="22"/>
              </w:rPr>
              <w:t xml:space="preserve">the first building blocks </w:t>
            </w:r>
            <w:r w:rsidR="00E014A4">
              <w:rPr>
                <w:noProof/>
                <w:sz w:val="22"/>
                <w:szCs w:val="22"/>
              </w:rPr>
              <w:t>of such system</w:t>
            </w:r>
            <w:r w:rsidRPr="002C310F">
              <w:rPr>
                <w:noProof/>
                <w:sz w:val="22"/>
                <w:szCs w:val="22"/>
              </w:rPr>
              <w:t>. Also, u</w:t>
            </w:r>
            <w:r w:rsidR="00641EB7" w:rsidRPr="002C310F">
              <w:rPr>
                <w:noProof/>
                <w:sz w:val="22"/>
                <w:szCs w:val="22"/>
              </w:rPr>
              <w:t>nder MENR leadership a dozen of CDM projects were developed</w:t>
            </w:r>
            <w:r w:rsidRPr="002C310F">
              <w:rPr>
                <w:noProof/>
                <w:sz w:val="22"/>
                <w:szCs w:val="22"/>
              </w:rPr>
              <w:t xml:space="preserve"> and implemented in Azerbaijan</w:t>
            </w:r>
            <w:r w:rsidR="00C403AC" w:rsidRPr="002C310F">
              <w:rPr>
                <w:noProof/>
                <w:sz w:val="22"/>
                <w:szCs w:val="22"/>
              </w:rPr>
              <w:t>, including</w:t>
            </w:r>
            <w:r w:rsidR="00A324D9" w:rsidRPr="002C310F">
              <w:rPr>
                <w:noProof/>
                <w:sz w:val="22"/>
                <w:szCs w:val="22"/>
              </w:rPr>
              <w:t xml:space="preserve"> three CDM projects</w:t>
            </w:r>
            <w:r w:rsidR="00C403AC" w:rsidRPr="002C310F">
              <w:rPr>
                <w:noProof/>
                <w:sz w:val="22"/>
                <w:szCs w:val="22"/>
              </w:rPr>
              <w:t xml:space="preserve"> with SOCAR</w:t>
            </w:r>
            <w:r w:rsidR="002C310F" w:rsidRPr="002C310F">
              <w:rPr>
                <w:noProof/>
                <w:sz w:val="22"/>
                <w:szCs w:val="22"/>
              </w:rPr>
              <w:t>, each involving a project-</w:t>
            </w:r>
            <w:r w:rsidR="00E014A4">
              <w:rPr>
                <w:noProof/>
                <w:sz w:val="22"/>
                <w:szCs w:val="22"/>
              </w:rPr>
              <w:t>level</w:t>
            </w:r>
            <w:r w:rsidR="002C310F" w:rsidRPr="002C310F">
              <w:rPr>
                <w:noProof/>
                <w:sz w:val="22"/>
                <w:szCs w:val="22"/>
              </w:rPr>
              <w:t xml:space="preserve"> MRV system</w:t>
            </w:r>
            <w:r w:rsidR="00A324D9" w:rsidRPr="002C310F">
              <w:rPr>
                <w:noProof/>
                <w:sz w:val="22"/>
                <w:szCs w:val="22"/>
              </w:rPr>
              <w:t xml:space="preserve">. </w:t>
            </w:r>
            <w:r w:rsidR="00C403AC" w:rsidRPr="002C310F">
              <w:rPr>
                <w:noProof/>
                <w:sz w:val="22"/>
                <w:szCs w:val="22"/>
              </w:rPr>
              <w:t>T</w:t>
            </w:r>
            <w:r w:rsidR="00A324D9" w:rsidRPr="002C310F">
              <w:rPr>
                <w:noProof/>
                <w:sz w:val="22"/>
                <w:szCs w:val="22"/>
              </w:rPr>
              <w:t>echnical knowledge and understanding of mitigation activities gathered by the private and public sector through concrete project experiences and the capacity development programmes</w:t>
            </w:r>
            <w:r w:rsidR="00C403AC" w:rsidRPr="002C310F">
              <w:rPr>
                <w:noProof/>
                <w:sz w:val="22"/>
                <w:szCs w:val="22"/>
              </w:rPr>
              <w:t xml:space="preserve"> executed in Azerbaijan during </w:t>
            </w:r>
            <w:r w:rsidR="00A324D9" w:rsidRPr="002C310F">
              <w:rPr>
                <w:noProof/>
                <w:sz w:val="22"/>
                <w:szCs w:val="22"/>
              </w:rPr>
              <w:t xml:space="preserve">last 10 years (World Bank CF- Assist, UNDP Capacity Building for CDM and EU-TACIS program) serves as a stepping stone for post- 2012 scaled up market mechanisms </w:t>
            </w:r>
            <w:r w:rsidR="002C310F" w:rsidRPr="002C310F">
              <w:rPr>
                <w:noProof/>
                <w:sz w:val="22"/>
                <w:szCs w:val="22"/>
              </w:rPr>
              <w:t xml:space="preserve">and sectoral MRVs. </w:t>
            </w:r>
          </w:p>
          <w:p w14:paraId="11300BC0" w14:textId="77777777" w:rsidR="00C403AC" w:rsidRPr="002C310F" w:rsidRDefault="008447B4" w:rsidP="00A324D9">
            <w:pPr>
              <w:spacing w:after="80"/>
              <w:outlineLvl w:val="0"/>
              <w:rPr>
                <w:noProof/>
                <w:sz w:val="22"/>
                <w:szCs w:val="22"/>
                <w:u w:val="single"/>
              </w:rPr>
            </w:pPr>
            <w:r>
              <w:rPr>
                <w:noProof/>
                <w:sz w:val="22"/>
                <w:szCs w:val="22"/>
                <w:u w:val="single"/>
              </w:rPr>
              <w:t>3</w:t>
            </w:r>
            <w:r w:rsidRPr="005C590C">
              <w:rPr>
                <w:noProof/>
                <w:sz w:val="22"/>
                <w:szCs w:val="22"/>
                <w:u w:val="single"/>
              </w:rPr>
              <w:t xml:space="preserve">) </w:t>
            </w:r>
            <w:r>
              <w:rPr>
                <w:sz w:val="22"/>
                <w:szCs w:val="22"/>
                <w:u w:val="single"/>
              </w:rPr>
              <w:t>Proposed alternative scenario</w:t>
            </w:r>
            <w:r w:rsidR="00544595">
              <w:rPr>
                <w:sz w:val="22"/>
                <w:szCs w:val="22"/>
                <w:u w:val="single"/>
              </w:rPr>
              <w:t xml:space="preserve"> and 4) incremental cost reasoning</w:t>
            </w:r>
          </w:p>
          <w:p w14:paraId="7B3F736D" w14:textId="77777777" w:rsidR="00C403AC" w:rsidRPr="006E491C" w:rsidRDefault="00A324D9" w:rsidP="00A324D9">
            <w:pPr>
              <w:spacing w:after="80"/>
              <w:outlineLvl w:val="0"/>
              <w:rPr>
                <w:noProof/>
                <w:sz w:val="22"/>
                <w:szCs w:val="22"/>
              </w:rPr>
            </w:pPr>
            <w:r w:rsidRPr="006E491C">
              <w:rPr>
                <w:noProof/>
                <w:sz w:val="22"/>
                <w:szCs w:val="22"/>
              </w:rPr>
              <w:t xml:space="preserve">The proposed project builds upon a strong national commitment </w:t>
            </w:r>
            <w:r w:rsidR="002C310F" w:rsidRPr="006E491C">
              <w:rPr>
                <w:noProof/>
                <w:sz w:val="22"/>
                <w:szCs w:val="22"/>
              </w:rPr>
              <w:t xml:space="preserve">to reduce </w:t>
            </w:r>
            <w:r w:rsidR="002C310F" w:rsidRPr="006E491C">
              <w:rPr>
                <w:sz w:val="22"/>
                <w:szCs w:val="22"/>
              </w:rPr>
              <w:t xml:space="preserve">domestic use of gas and oil </w:t>
            </w:r>
            <w:r w:rsidR="005A5103" w:rsidRPr="006E491C">
              <w:rPr>
                <w:sz w:val="22"/>
                <w:szCs w:val="22"/>
              </w:rPr>
              <w:t xml:space="preserve">in the power generation sector, </w:t>
            </w:r>
            <w:r w:rsidR="002C310F" w:rsidRPr="006E491C">
              <w:rPr>
                <w:sz w:val="22"/>
                <w:szCs w:val="22"/>
              </w:rPr>
              <w:t xml:space="preserve">through their replacement for generation of electricity </w:t>
            </w:r>
            <w:r w:rsidR="005A5103" w:rsidRPr="006E491C">
              <w:rPr>
                <w:sz w:val="22"/>
                <w:szCs w:val="22"/>
              </w:rPr>
              <w:t xml:space="preserve">from </w:t>
            </w:r>
            <w:r w:rsidR="002C310F" w:rsidRPr="006E491C">
              <w:rPr>
                <w:sz w:val="22"/>
                <w:szCs w:val="22"/>
              </w:rPr>
              <w:t xml:space="preserve">renewable </w:t>
            </w:r>
            <w:r w:rsidR="005A5103" w:rsidRPr="006E491C">
              <w:rPr>
                <w:sz w:val="22"/>
                <w:szCs w:val="22"/>
              </w:rPr>
              <w:t xml:space="preserve">energy sources, </w:t>
            </w:r>
            <w:r w:rsidR="002C310F" w:rsidRPr="006E491C">
              <w:rPr>
                <w:sz w:val="22"/>
                <w:szCs w:val="22"/>
              </w:rPr>
              <w:t xml:space="preserve">and </w:t>
            </w:r>
            <w:r w:rsidR="005A5103" w:rsidRPr="006E491C">
              <w:rPr>
                <w:sz w:val="22"/>
                <w:szCs w:val="22"/>
              </w:rPr>
              <w:t xml:space="preserve">pursuing </w:t>
            </w:r>
            <w:r w:rsidR="002C310F" w:rsidRPr="006E491C">
              <w:rPr>
                <w:sz w:val="22"/>
                <w:szCs w:val="22"/>
              </w:rPr>
              <w:t>energy savings</w:t>
            </w:r>
            <w:r w:rsidR="005A5103" w:rsidRPr="006E491C">
              <w:rPr>
                <w:sz w:val="22"/>
                <w:szCs w:val="22"/>
              </w:rPr>
              <w:t xml:space="preserve"> </w:t>
            </w:r>
            <w:r w:rsidR="006E491C">
              <w:rPr>
                <w:sz w:val="22"/>
                <w:szCs w:val="22"/>
              </w:rPr>
              <w:t>measures</w:t>
            </w:r>
            <w:r w:rsidR="002C310F" w:rsidRPr="006E491C">
              <w:rPr>
                <w:sz w:val="22"/>
                <w:szCs w:val="22"/>
              </w:rPr>
              <w:t>.</w:t>
            </w:r>
            <w:r w:rsidR="00E014A4" w:rsidRPr="006E491C">
              <w:rPr>
                <w:sz w:val="22"/>
                <w:szCs w:val="22"/>
              </w:rPr>
              <w:t xml:space="preserve"> </w:t>
            </w:r>
            <w:r w:rsidRPr="006E491C">
              <w:rPr>
                <w:noProof/>
                <w:sz w:val="22"/>
                <w:szCs w:val="22"/>
              </w:rPr>
              <w:t>Both SOCAR and the Government acknowl</w:t>
            </w:r>
            <w:r w:rsidR="00E014A4" w:rsidRPr="006E491C">
              <w:rPr>
                <w:noProof/>
                <w:sz w:val="22"/>
                <w:szCs w:val="22"/>
              </w:rPr>
              <w:t>edge, however, that reaching their</w:t>
            </w:r>
            <w:r w:rsidRPr="006E491C">
              <w:rPr>
                <w:noProof/>
                <w:sz w:val="22"/>
                <w:szCs w:val="22"/>
              </w:rPr>
              <w:t xml:space="preserve"> target</w:t>
            </w:r>
            <w:r w:rsidR="00E014A4" w:rsidRPr="006E491C">
              <w:rPr>
                <w:noProof/>
                <w:sz w:val="22"/>
                <w:szCs w:val="22"/>
              </w:rPr>
              <w:t>s</w:t>
            </w:r>
            <w:r w:rsidRPr="006E491C">
              <w:rPr>
                <w:noProof/>
                <w:sz w:val="22"/>
                <w:szCs w:val="22"/>
              </w:rPr>
              <w:t xml:space="preserve"> and reversing the </w:t>
            </w:r>
            <w:r w:rsidR="005A5103" w:rsidRPr="006E491C">
              <w:rPr>
                <w:noProof/>
                <w:sz w:val="22"/>
                <w:szCs w:val="22"/>
              </w:rPr>
              <w:t xml:space="preserve">trend </w:t>
            </w:r>
            <w:r w:rsidRPr="006E491C">
              <w:rPr>
                <w:noProof/>
                <w:sz w:val="22"/>
                <w:szCs w:val="22"/>
              </w:rPr>
              <w:t xml:space="preserve">of GHG emissions requires additional efforts, </w:t>
            </w:r>
            <w:r w:rsidR="00E014A4" w:rsidRPr="006E491C">
              <w:rPr>
                <w:noProof/>
                <w:sz w:val="22"/>
                <w:szCs w:val="22"/>
              </w:rPr>
              <w:t>especially</w:t>
            </w:r>
            <w:r w:rsidRPr="006E491C">
              <w:rPr>
                <w:noProof/>
                <w:sz w:val="22"/>
                <w:szCs w:val="22"/>
              </w:rPr>
              <w:t xml:space="preserve"> on the demand side. </w:t>
            </w:r>
            <w:r w:rsidR="005010C7" w:rsidRPr="006E491C">
              <w:rPr>
                <w:sz w:val="22"/>
                <w:szCs w:val="22"/>
                <w:lang w:eastAsia="ru-RU"/>
              </w:rPr>
              <w:t xml:space="preserve">In this context, the Government of Azerbaijan is requesting GEF support to help identify, develop and leverage financing for Nationally Appropriate Mitigation Actions (NAMAs) in its </w:t>
            </w:r>
            <w:proofErr w:type="spellStart"/>
            <w:r w:rsidR="005010C7" w:rsidRPr="006E491C">
              <w:rPr>
                <w:sz w:val="22"/>
                <w:szCs w:val="22"/>
                <w:lang w:eastAsia="ru-RU"/>
              </w:rPr>
              <w:t>oil&amp;gas</w:t>
            </w:r>
            <w:proofErr w:type="spellEnd"/>
            <w:r w:rsidR="005010C7" w:rsidRPr="006E491C">
              <w:rPr>
                <w:sz w:val="22"/>
                <w:szCs w:val="22"/>
                <w:lang w:eastAsia="ru-RU"/>
              </w:rPr>
              <w:t xml:space="preserve"> end-use sector. </w:t>
            </w:r>
          </w:p>
          <w:p w14:paraId="4C3C2305" w14:textId="77777777" w:rsidR="00A324D9" w:rsidRPr="00A324D9" w:rsidRDefault="00911602" w:rsidP="00A324D9">
            <w:pPr>
              <w:spacing w:after="80"/>
              <w:outlineLvl w:val="0"/>
              <w:rPr>
                <w:noProof/>
                <w:sz w:val="22"/>
                <w:szCs w:val="22"/>
              </w:rPr>
            </w:pPr>
            <w:r w:rsidRPr="00A324D9">
              <w:rPr>
                <w:noProof/>
                <w:sz w:val="22"/>
                <w:szCs w:val="22"/>
              </w:rPr>
              <w:t>The GEF project is designed with the objective of leading the end-use sector NAMA development and implementation process.</w:t>
            </w:r>
            <w:r>
              <w:rPr>
                <w:noProof/>
                <w:sz w:val="22"/>
                <w:szCs w:val="22"/>
              </w:rPr>
              <w:t xml:space="preserve"> </w:t>
            </w:r>
            <w:r w:rsidR="00A324D9" w:rsidRPr="00A324D9">
              <w:rPr>
                <w:noProof/>
                <w:sz w:val="22"/>
                <w:szCs w:val="22"/>
              </w:rPr>
              <w:t xml:space="preserve">As described in the previous section, there are numerous ongoing initiatives </w:t>
            </w:r>
            <w:r w:rsidR="00AC78C3">
              <w:rPr>
                <w:noProof/>
                <w:sz w:val="22"/>
                <w:szCs w:val="22"/>
              </w:rPr>
              <w:t>aimed at oil&amp;gas saving and fuel switch in the energy use sectors</w:t>
            </w:r>
            <w:r w:rsidR="00A324D9" w:rsidRPr="00A324D9">
              <w:rPr>
                <w:noProof/>
                <w:sz w:val="22"/>
                <w:szCs w:val="22"/>
              </w:rPr>
              <w:t xml:space="preserve">. </w:t>
            </w:r>
            <w:r w:rsidR="008447B4" w:rsidRPr="00A324D9">
              <w:rPr>
                <w:noProof/>
                <w:sz w:val="22"/>
                <w:szCs w:val="22"/>
              </w:rPr>
              <w:t>The GEF initiative will be immersed in this context and will have the overall mandate of develop</w:t>
            </w:r>
            <w:r>
              <w:rPr>
                <w:noProof/>
                <w:sz w:val="22"/>
                <w:szCs w:val="22"/>
              </w:rPr>
              <w:t>ing</w:t>
            </w:r>
            <w:r w:rsidR="008447B4" w:rsidRPr="00A324D9">
              <w:rPr>
                <w:noProof/>
                <w:sz w:val="22"/>
                <w:szCs w:val="22"/>
              </w:rPr>
              <w:t xml:space="preserve"> a NAMA framework, both coordinating amongst </w:t>
            </w:r>
            <w:r w:rsidR="00E014A4">
              <w:rPr>
                <w:noProof/>
                <w:sz w:val="22"/>
                <w:szCs w:val="22"/>
              </w:rPr>
              <w:t>baseline</w:t>
            </w:r>
            <w:r w:rsidR="008447B4" w:rsidRPr="00A324D9">
              <w:rPr>
                <w:noProof/>
                <w:sz w:val="22"/>
                <w:szCs w:val="22"/>
              </w:rPr>
              <w:t xml:space="preserve"> initiatives and complementing these actions to ensure the country is fully enabled to implement structured an</w:t>
            </w:r>
            <w:r w:rsidR="008447B4">
              <w:rPr>
                <w:noProof/>
                <w:sz w:val="22"/>
                <w:szCs w:val="22"/>
              </w:rPr>
              <w:t>d</w:t>
            </w:r>
            <w:r w:rsidR="008447B4" w:rsidRPr="00A324D9">
              <w:rPr>
                <w:noProof/>
                <w:sz w:val="22"/>
                <w:szCs w:val="22"/>
              </w:rPr>
              <w:t xml:space="preserve"> integrated </w:t>
            </w:r>
            <w:r w:rsidR="008447B4">
              <w:rPr>
                <w:noProof/>
                <w:sz w:val="22"/>
                <w:szCs w:val="22"/>
              </w:rPr>
              <w:t xml:space="preserve">energy </w:t>
            </w:r>
            <w:r w:rsidR="008447B4" w:rsidRPr="00A324D9">
              <w:rPr>
                <w:noProof/>
                <w:sz w:val="22"/>
                <w:szCs w:val="22"/>
              </w:rPr>
              <w:t>end-use sector NAMAs.</w:t>
            </w:r>
            <w:r w:rsidR="00AC78C3">
              <w:rPr>
                <w:noProof/>
                <w:sz w:val="22"/>
                <w:szCs w:val="22"/>
              </w:rPr>
              <w:t xml:space="preserve"> The project </w:t>
            </w:r>
            <w:r w:rsidR="00A324D9" w:rsidRPr="00A324D9">
              <w:rPr>
                <w:noProof/>
                <w:sz w:val="22"/>
                <w:szCs w:val="22"/>
              </w:rPr>
              <w:t>will consist of the following four components:</w:t>
            </w:r>
          </w:p>
          <w:p w14:paraId="3A184B90" w14:textId="77777777" w:rsidR="00A324D9" w:rsidRPr="008447B4" w:rsidRDefault="00A324D9" w:rsidP="00A324D9">
            <w:pPr>
              <w:spacing w:after="80"/>
              <w:outlineLvl w:val="0"/>
              <w:rPr>
                <w:b/>
                <w:noProof/>
                <w:sz w:val="22"/>
                <w:szCs w:val="22"/>
              </w:rPr>
            </w:pPr>
            <w:r w:rsidRPr="008447B4">
              <w:rPr>
                <w:b/>
                <w:noProof/>
                <w:sz w:val="22"/>
                <w:szCs w:val="22"/>
              </w:rPr>
              <w:t xml:space="preserve">Component 1: </w:t>
            </w:r>
            <w:r w:rsidR="00AC78C3">
              <w:rPr>
                <w:b/>
                <w:noProof/>
                <w:sz w:val="22"/>
                <w:szCs w:val="22"/>
              </w:rPr>
              <w:t>B</w:t>
            </w:r>
            <w:r w:rsidRPr="008447B4">
              <w:rPr>
                <w:b/>
                <w:noProof/>
                <w:sz w:val="22"/>
                <w:szCs w:val="22"/>
              </w:rPr>
              <w:t>usiness-as-usual GHG emission baseline</w:t>
            </w:r>
            <w:r w:rsidR="00AC78C3">
              <w:rPr>
                <w:b/>
                <w:noProof/>
                <w:sz w:val="22"/>
                <w:szCs w:val="22"/>
              </w:rPr>
              <w:t xml:space="preserve"> and reduction targets</w:t>
            </w:r>
          </w:p>
          <w:p w14:paraId="5117977F" w14:textId="2B55E128" w:rsidR="00A324D9" w:rsidRPr="00A324D9" w:rsidRDefault="00A324D9" w:rsidP="00666BA5">
            <w:pPr>
              <w:spacing w:after="80"/>
              <w:outlineLvl w:val="0"/>
              <w:rPr>
                <w:noProof/>
                <w:sz w:val="22"/>
                <w:szCs w:val="22"/>
              </w:rPr>
            </w:pPr>
            <w:r w:rsidRPr="00A324D9">
              <w:rPr>
                <w:noProof/>
                <w:sz w:val="22"/>
                <w:szCs w:val="22"/>
              </w:rPr>
              <w:t xml:space="preserve">This component will focus on establishing a GHG business-as-usual reference baseline </w:t>
            </w:r>
            <w:r w:rsidR="00AC78C3">
              <w:rPr>
                <w:noProof/>
                <w:sz w:val="22"/>
                <w:szCs w:val="22"/>
              </w:rPr>
              <w:t xml:space="preserve">and emission reduction targets </w:t>
            </w:r>
            <w:r w:rsidRPr="00A324D9">
              <w:rPr>
                <w:noProof/>
                <w:sz w:val="22"/>
                <w:szCs w:val="22"/>
              </w:rPr>
              <w:t xml:space="preserve">for </w:t>
            </w:r>
            <w:r w:rsidR="00AC78C3">
              <w:rPr>
                <w:noProof/>
                <w:sz w:val="22"/>
                <w:szCs w:val="22"/>
              </w:rPr>
              <w:t>main</w:t>
            </w:r>
            <w:r w:rsidRPr="00A324D9">
              <w:rPr>
                <w:noProof/>
                <w:sz w:val="22"/>
                <w:szCs w:val="22"/>
              </w:rPr>
              <w:t xml:space="preserve"> oil&amp;gas end-use sector and subsectors. This will enhance and complement the national GHG inventory that is being conducted by the Ministry of Ecology and Natural Resources through the Third National Communication to the UNFCCC (TNC). </w:t>
            </w:r>
            <w:r w:rsidRPr="00666BA5">
              <w:rPr>
                <w:noProof/>
                <w:sz w:val="22"/>
                <w:szCs w:val="22"/>
                <w:highlight w:val="yellow"/>
              </w:rPr>
              <w:t xml:space="preserve">While the TNC will focus on </w:t>
            </w:r>
            <w:r w:rsidRPr="00666BA5">
              <w:rPr>
                <w:noProof/>
                <w:sz w:val="22"/>
                <w:szCs w:val="22"/>
                <w:highlight w:val="yellow"/>
              </w:rPr>
              <w:lastRenderedPageBreak/>
              <w:t xml:space="preserve">national, sector level inventories, this project will </w:t>
            </w:r>
            <w:r w:rsidR="00666BA5" w:rsidRPr="00666BA5">
              <w:rPr>
                <w:noProof/>
                <w:sz w:val="22"/>
                <w:szCs w:val="22"/>
                <w:highlight w:val="yellow"/>
              </w:rPr>
              <w:t xml:space="preserve">prepare </w:t>
            </w:r>
            <w:r w:rsidRPr="00666BA5">
              <w:rPr>
                <w:noProof/>
                <w:sz w:val="22"/>
                <w:szCs w:val="22"/>
                <w:highlight w:val="yellow"/>
              </w:rPr>
              <w:t>detailed sub-sectoral GHG inventories</w:t>
            </w:r>
            <w:r w:rsidR="00F97282" w:rsidRPr="00666BA5">
              <w:rPr>
                <w:noProof/>
                <w:sz w:val="22"/>
                <w:szCs w:val="22"/>
                <w:highlight w:val="yellow"/>
              </w:rPr>
              <w:t xml:space="preserve">, </w:t>
            </w:r>
            <w:r w:rsidR="00666BA5" w:rsidRPr="00666BA5">
              <w:rPr>
                <w:noProof/>
                <w:sz w:val="22"/>
                <w:szCs w:val="22"/>
                <w:highlight w:val="yellow"/>
              </w:rPr>
              <w:t>(e.g. electricity generation, heat generation, buildings, urban transport), reference baseline scenario for identified sub-sectors, and alternative/low-carbon scenarios with accelerated implementation of energy efficiency and renewable energy measures in key sub-sectors.</w:t>
            </w:r>
            <w:r w:rsidR="00666BA5">
              <w:rPr>
                <w:noProof/>
                <w:sz w:val="22"/>
                <w:szCs w:val="22"/>
              </w:rPr>
              <w:t xml:space="preserve"> </w:t>
            </w:r>
          </w:p>
          <w:p w14:paraId="111BC838" w14:textId="18AB91C7" w:rsidR="00A324D9" w:rsidRDefault="00A324D9" w:rsidP="00A324D9">
            <w:pPr>
              <w:spacing w:after="80"/>
              <w:outlineLvl w:val="0"/>
              <w:rPr>
                <w:noProof/>
                <w:sz w:val="22"/>
                <w:szCs w:val="22"/>
              </w:rPr>
            </w:pPr>
            <w:r w:rsidRPr="00A324D9">
              <w:rPr>
                <w:noProof/>
                <w:sz w:val="22"/>
                <w:szCs w:val="22"/>
              </w:rPr>
              <w:t xml:space="preserve">In addition to the preparation of these inventories, a system will be established in the Ministry of Ecology and Natural Resources to facilitate the gathering of information and the update of the sub-sectoral GHG inventories for end-use sectors and enhance their quality. </w:t>
            </w:r>
          </w:p>
          <w:p w14:paraId="71DCC117" w14:textId="77777777" w:rsidR="00AC78C3" w:rsidRDefault="00AC78C3" w:rsidP="00A324D9">
            <w:pPr>
              <w:spacing w:after="80"/>
              <w:outlineLvl w:val="0"/>
              <w:rPr>
                <w:sz w:val="22"/>
                <w:szCs w:val="22"/>
              </w:rPr>
            </w:pPr>
            <w:r w:rsidRPr="00666BA5">
              <w:rPr>
                <w:sz w:val="22"/>
                <w:szCs w:val="22"/>
                <w:highlight w:val="yellow"/>
              </w:rPr>
              <w:t xml:space="preserve">Based on analysis and finding of </w:t>
            </w:r>
            <w:proofErr w:type="spellStart"/>
            <w:r w:rsidRPr="00666BA5">
              <w:rPr>
                <w:sz w:val="22"/>
                <w:szCs w:val="22"/>
                <w:highlight w:val="yellow"/>
              </w:rPr>
              <w:t>sectoral</w:t>
            </w:r>
            <w:proofErr w:type="spellEnd"/>
            <w:r w:rsidRPr="00666BA5">
              <w:rPr>
                <w:sz w:val="22"/>
                <w:szCs w:val="22"/>
                <w:highlight w:val="yellow"/>
              </w:rPr>
              <w:t xml:space="preserve"> baselines and abatement potential, </w:t>
            </w:r>
            <w:proofErr w:type="spellStart"/>
            <w:r w:rsidRPr="00666BA5">
              <w:rPr>
                <w:sz w:val="22"/>
                <w:szCs w:val="22"/>
                <w:highlight w:val="yellow"/>
              </w:rPr>
              <w:t>sectoral</w:t>
            </w:r>
            <w:proofErr w:type="spellEnd"/>
            <w:r w:rsidRPr="00666BA5">
              <w:rPr>
                <w:sz w:val="22"/>
                <w:szCs w:val="22"/>
                <w:highlight w:val="yellow"/>
              </w:rPr>
              <w:t xml:space="preserve"> GHG emission targets will be proposed and adopted.</w:t>
            </w:r>
            <w:r w:rsidRPr="00AC78C3">
              <w:rPr>
                <w:sz w:val="22"/>
                <w:szCs w:val="22"/>
              </w:rPr>
              <w:t xml:space="preserve"> These </w:t>
            </w:r>
            <w:proofErr w:type="spellStart"/>
            <w:r w:rsidRPr="00AC78C3">
              <w:rPr>
                <w:sz w:val="22"/>
                <w:szCs w:val="22"/>
              </w:rPr>
              <w:t>sectoral</w:t>
            </w:r>
            <w:proofErr w:type="spellEnd"/>
            <w:r w:rsidRPr="00AC78C3">
              <w:rPr>
                <w:sz w:val="22"/>
                <w:szCs w:val="22"/>
              </w:rPr>
              <w:t xml:space="preserve"> targets will be consistent with national and corporate targets, as defined in the </w:t>
            </w:r>
            <w:r w:rsidRPr="00AC78C3">
              <w:rPr>
                <w:noProof/>
                <w:sz w:val="22"/>
                <w:szCs w:val="22"/>
              </w:rPr>
              <w:t>State Programme for the Development of the Fuel and Energy Sector and SO</w:t>
            </w:r>
            <w:r w:rsidR="00544595">
              <w:rPr>
                <w:noProof/>
                <w:sz w:val="22"/>
                <w:szCs w:val="22"/>
              </w:rPr>
              <w:t>CA</w:t>
            </w:r>
            <w:r w:rsidRPr="00AC78C3">
              <w:rPr>
                <w:noProof/>
                <w:sz w:val="22"/>
                <w:szCs w:val="22"/>
              </w:rPr>
              <w:t>R’s Climate Change Strategy</w:t>
            </w:r>
            <w:r w:rsidRPr="00AC78C3">
              <w:rPr>
                <w:sz w:val="22"/>
                <w:szCs w:val="22"/>
              </w:rPr>
              <w:t>.</w:t>
            </w:r>
          </w:p>
          <w:p w14:paraId="3CE88AC3" w14:textId="77777777" w:rsidR="00A324D9" w:rsidRPr="008447B4" w:rsidRDefault="00A324D9" w:rsidP="00A324D9">
            <w:pPr>
              <w:spacing w:after="80"/>
              <w:outlineLvl w:val="0"/>
              <w:rPr>
                <w:b/>
                <w:noProof/>
                <w:sz w:val="22"/>
                <w:szCs w:val="22"/>
              </w:rPr>
            </w:pPr>
            <w:r w:rsidRPr="008447B4">
              <w:rPr>
                <w:b/>
                <w:noProof/>
                <w:sz w:val="22"/>
                <w:szCs w:val="22"/>
              </w:rPr>
              <w:t xml:space="preserve">Component 2: </w:t>
            </w:r>
            <w:r w:rsidR="00301CF2">
              <w:rPr>
                <w:b/>
                <w:noProof/>
                <w:sz w:val="22"/>
                <w:szCs w:val="22"/>
              </w:rPr>
              <w:t>Development</w:t>
            </w:r>
            <w:r w:rsidRPr="008447B4">
              <w:rPr>
                <w:b/>
                <w:noProof/>
                <w:sz w:val="22"/>
                <w:szCs w:val="22"/>
              </w:rPr>
              <w:t xml:space="preserve"> of </w:t>
            </w:r>
            <w:r w:rsidR="00AC166E">
              <w:rPr>
                <w:b/>
                <w:noProof/>
                <w:sz w:val="22"/>
                <w:szCs w:val="22"/>
              </w:rPr>
              <w:t>NAMAs</w:t>
            </w:r>
            <w:r w:rsidRPr="008447B4">
              <w:rPr>
                <w:b/>
                <w:noProof/>
                <w:sz w:val="22"/>
                <w:szCs w:val="22"/>
              </w:rPr>
              <w:t xml:space="preserve"> </w:t>
            </w:r>
            <w:r w:rsidR="00301CF2">
              <w:rPr>
                <w:b/>
                <w:noProof/>
                <w:sz w:val="22"/>
                <w:szCs w:val="22"/>
              </w:rPr>
              <w:t>in</w:t>
            </w:r>
            <w:r w:rsidRPr="008447B4">
              <w:rPr>
                <w:b/>
                <w:noProof/>
                <w:sz w:val="22"/>
                <w:szCs w:val="22"/>
              </w:rPr>
              <w:t xml:space="preserve"> oil&amp;gas end-use sectors</w:t>
            </w:r>
          </w:p>
          <w:p w14:paraId="40203AF9" w14:textId="0DA26122" w:rsidR="00C90DAE" w:rsidRDefault="00A324D9" w:rsidP="00A324D9">
            <w:pPr>
              <w:spacing w:after="80"/>
              <w:outlineLvl w:val="0"/>
              <w:rPr>
                <w:noProof/>
                <w:sz w:val="22"/>
                <w:szCs w:val="22"/>
              </w:rPr>
            </w:pPr>
            <w:r w:rsidRPr="00A324D9">
              <w:rPr>
                <w:noProof/>
                <w:sz w:val="22"/>
                <w:szCs w:val="22"/>
              </w:rPr>
              <w:t xml:space="preserve">This component will support the Government of Azerbaijan in the identification </w:t>
            </w:r>
            <w:r w:rsidR="00301CF2">
              <w:rPr>
                <w:noProof/>
                <w:sz w:val="22"/>
                <w:szCs w:val="22"/>
              </w:rPr>
              <w:t xml:space="preserve">and development </w:t>
            </w:r>
            <w:r w:rsidRPr="00A324D9">
              <w:rPr>
                <w:noProof/>
                <w:sz w:val="22"/>
                <w:szCs w:val="22"/>
              </w:rPr>
              <w:t xml:space="preserve">of appropriate mitigation options </w:t>
            </w:r>
            <w:r w:rsidR="00C90DAE">
              <w:rPr>
                <w:noProof/>
                <w:sz w:val="22"/>
                <w:szCs w:val="22"/>
              </w:rPr>
              <w:t>(NAMAs)</w:t>
            </w:r>
            <w:r w:rsidRPr="00A324D9">
              <w:rPr>
                <w:noProof/>
                <w:sz w:val="22"/>
                <w:szCs w:val="22"/>
              </w:rPr>
              <w:t>. A detailed marginal abatement cost curve for main energy end-use sectors (</w:t>
            </w:r>
            <w:r w:rsidR="00301CF2">
              <w:rPr>
                <w:noProof/>
                <w:sz w:val="22"/>
                <w:szCs w:val="22"/>
              </w:rPr>
              <w:t xml:space="preserve">electricity generation, </w:t>
            </w:r>
            <w:r w:rsidRPr="00A324D9">
              <w:rPr>
                <w:noProof/>
                <w:sz w:val="22"/>
                <w:szCs w:val="22"/>
              </w:rPr>
              <w:t xml:space="preserve">residential, </w:t>
            </w:r>
            <w:r w:rsidR="00301CF2">
              <w:rPr>
                <w:noProof/>
                <w:sz w:val="22"/>
                <w:szCs w:val="22"/>
              </w:rPr>
              <w:t xml:space="preserve">and </w:t>
            </w:r>
            <w:r w:rsidRPr="00A324D9">
              <w:rPr>
                <w:noProof/>
                <w:sz w:val="22"/>
                <w:szCs w:val="22"/>
              </w:rPr>
              <w:t xml:space="preserve">transport) will be prepared. </w:t>
            </w:r>
            <w:r w:rsidR="00C90DAE">
              <w:rPr>
                <w:noProof/>
                <w:sz w:val="22"/>
                <w:szCs w:val="22"/>
              </w:rPr>
              <w:t>NAMAs</w:t>
            </w:r>
            <w:r w:rsidRPr="00A324D9">
              <w:rPr>
                <w:noProof/>
                <w:sz w:val="22"/>
                <w:szCs w:val="22"/>
              </w:rPr>
              <w:t xml:space="preserve"> will be identified and </w:t>
            </w:r>
            <w:r w:rsidR="0048737D">
              <w:rPr>
                <w:noProof/>
                <w:sz w:val="22"/>
                <w:szCs w:val="22"/>
              </w:rPr>
              <w:t>their</w:t>
            </w:r>
            <w:r w:rsidRPr="00A324D9">
              <w:rPr>
                <w:noProof/>
                <w:sz w:val="22"/>
                <w:szCs w:val="22"/>
              </w:rPr>
              <w:t xml:space="preserve"> feasibility </w:t>
            </w:r>
            <w:r w:rsidR="0048737D">
              <w:rPr>
                <w:noProof/>
                <w:sz w:val="22"/>
                <w:szCs w:val="22"/>
              </w:rPr>
              <w:t>assessed</w:t>
            </w:r>
            <w:r w:rsidRPr="00A324D9">
              <w:rPr>
                <w:noProof/>
                <w:sz w:val="22"/>
                <w:szCs w:val="22"/>
              </w:rPr>
              <w:t xml:space="preserve">. From this pipeline of NAMAs, a prioritization exercise will be performed and a short list of </w:t>
            </w:r>
            <w:r w:rsidR="00412286">
              <w:rPr>
                <w:noProof/>
                <w:sz w:val="22"/>
                <w:szCs w:val="22"/>
              </w:rPr>
              <w:t xml:space="preserve">three </w:t>
            </w:r>
            <w:r w:rsidRPr="00A324D9">
              <w:rPr>
                <w:noProof/>
                <w:sz w:val="22"/>
                <w:szCs w:val="22"/>
              </w:rPr>
              <w:t xml:space="preserve">NAMAs will be </w:t>
            </w:r>
            <w:r w:rsidR="009D3288">
              <w:rPr>
                <w:noProof/>
                <w:sz w:val="22"/>
                <w:szCs w:val="22"/>
              </w:rPr>
              <w:t>proposed for implementation under Component 3</w:t>
            </w:r>
            <w:r w:rsidRPr="00A324D9">
              <w:rPr>
                <w:noProof/>
                <w:sz w:val="22"/>
                <w:szCs w:val="22"/>
              </w:rPr>
              <w:t>.</w:t>
            </w:r>
            <w:r w:rsidR="00C90DAE">
              <w:rPr>
                <w:noProof/>
                <w:sz w:val="22"/>
                <w:szCs w:val="22"/>
              </w:rPr>
              <w:t xml:space="preserve"> </w:t>
            </w:r>
          </w:p>
          <w:p w14:paraId="2F833E05" w14:textId="77777777" w:rsidR="00792397" w:rsidRDefault="00AC166E" w:rsidP="00A324D9">
            <w:pPr>
              <w:spacing w:after="80"/>
              <w:outlineLvl w:val="0"/>
              <w:rPr>
                <w:noProof/>
                <w:sz w:val="22"/>
                <w:szCs w:val="22"/>
              </w:rPr>
            </w:pPr>
            <w:r w:rsidRPr="00A324D9">
              <w:rPr>
                <w:noProof/>
                <w:sz w:val="22"/>
                <w:szCs w:val="22"/>
              </w:rPr>
              <w:t xml:space="preserve">NAMA </w:t>
            </w:r>
            <w:r w:rsidR="009D3288">
              <w:rPr>
                <w:noProof/>
                <w:sz w:val="22"/>
                <w:szCs w:val="22"/>
              </w:rPr>
              <w:t xml:space="preserve">design </w:t>
            </w:r>
            <w:r w:rsidRPr="00A324D9">
              <w:rPr>
                <w:noProof/>
                <w:sz w:val="22"/>
                <w:szCs w:val="22"/>
              </w:rPr>
              <w:t>will include selection of mitigatio</w:t>
            </w:r>
            <w:r w:rsidR="0048737D">
              <w:rPr>
                <w:noProof/>
                <w:sz w:val="22"/>
                <w:szCs w:val="22"/>
              </w:rPr>
              <w:t xml:space="preserve">n actions, </w:t>
            </w:r>
            <w:r w:rsidRPr="00A324D9">
              <w:rPr>
                <w:noProof/>
                <w:sz w:val="22"/>
                <w:szCs w:val="22"/>
              </w:rPr>
              <w:t xml:space="preserve">definition of </w:t>
            </w:r>
            <w:r w:rsidR="009D3288">
              <w:rPr>
                <w:noProof/>
                <w:sz w:val="22"/>
                <w:szCs w:val="22"/>
              </w:rPr>
              <w:t xml:space="preserve">geographic and sectoral </w:t>
            </w:r>
            <w:r w:rsidRPr="00A324D9">
              <w:rPr>
                <w:noProof/>
                <w:sz w:val="22"/>
                <w:szCs w:val="22"/>
              </w:rPr>
              <w:t xml:space="preserve"> boundar</w:t>
            </w:r>
            <w:r w:rsidR="009D3288">
              <w:rPr>
                <w:noProof/>
                <w:sz w:val="22"/>
                <w:szCs w:val="22"/>
              </w:rPr>
              <w:t>ies</w:t>
            </w:r>
            <w:r w:rsidR="0048737D">
              <w:rPr>
                <w:noProof/>
                <w:sz w:val="22"/>
                <w:szCs w:val="22"/>
              </w:rPr>
              <w:t xml:space="preserve">, </w:t>
            </w:r>
            <w:r w:rsidRPr="00A324D9">
              <w:rPr>
                <w:noProof/>
                <w:sz w:val="22"/>
                <w:szCs w:val="22"/>
              </w:rPr>
              <w:t>evaluation of emi</w:t>
            </w:r>
            <w:r w:rsidR="0048737D">
              <w:rPr>
                <w:noProof/>
                <w:sz w:val="22"/>
                <w:szCs w:val="22"/>
              </w:rPr>
              <w:t xml:space="preserve">ssion reductions potential, </w:t>
            </w:r>
            <w:r w:rsidRPr="00A324D9">
              <w:rPr>
                <w:noProof/>
                <w:sz w:val="22"/>
                <w:szCs w:val="22"/>
              </w:rPr>
              <w:t>establishment of the timeframe</w:t>
            </w:r>
            <w:r w:rsidR="0048737D">
              <w:rPr>
                <w:noProof/>
                <w:sz w:val="22"/>
                <w:szCs w:val="22"/>
              </w:rPr>
              <w:t xml:space="preserve">, </w:t>
            </w:r>
            <w:r w:rsidRPr="00A324D9">
              <w:rPr>
                <w:noProof/>
                <w:sz w:val="22"/>
                <w:szCs w:val="22"/>
              </w:rPr>
              <w:t xml:space="preserve">definition of the monitoring methodology, </w:t>
            </w:r>
            <w:r w:rsidR="0048737D">
              <w:rPr>
                <w:noProof/>
                <w:sz w:val="22"/>
                <w:szCs w:val="22"/>
              </w:rPr>
              <w:t xml:space="preserve">comprehesnive barrier analysis, </w:t>
            </w:r>
            <w:r w:rsidR="009D3288">
              <w:rPr>
                <w:noProof/>
                <w:sz w:val="22"/>
                <w:szCs w:val="22"/>
              </w:rPr>
              <w:t xml:space="preserve">selection of </w:t>
            </w:r>
            <w:r w:rsidRPr="00A324D9">
              <w:rPr>
                <w:noProof/>
                <w:sz w:val="22"/>
                <w:szCs w:val="22"/>
              </w:rPr>
              <w:t xml:space="preserve">appropriate </w:t>
            </w:r>
            <w:r w:rsidR="0048737D">
              <w:rPr>
                <w:noProof/>
                <w:sz w:val="22"/>
                <w:szCs w:val="22"/>
              </w:rPr>
              <w:t xml:space="preserve">policy and financial </w:t>
            </w:r>
            <w:r w:rsidRPr="00A324D9">
              <w:rPr>
                <w:noProof/>
                <w:sz w:val="22"/>
                <w:szCs w:val="22"/>
              </w:rPr>
              <w:t xml:space="preserve">instruments and evaluation of the required funding </w:t>
            </w:r>
            <w:r w:rsidR="009D3288">
              <w:rPr>
                <w:noProof/>
                <w:sz w:val="22"/>
                <w:szCs w:val="22"/>
              </w:rPr>
              <w:t>and</w:t>
            </w:r>
            <w:r w:rsidRPr="00A324D9">
              <w:rPr>
                <w:noProof/>
                <w:sz w:val="22"/>
                <w:szCs w:val="22"/>
              </w:rPr>
              <w:t xml:space="preserve"> sources. </w:t>
            </w:r>
          </w:p>
          <w:p w14:paraId="58EF1E4E" w14:textId="77777777" w:rsidR="00412286" w:rsidRPr="00A324D9" w:rsidRDefault="00412286" w:rsidP="00A324D9">
            <w:pPr>
              <w:spacing w:after="80"/>
              <w:outlineLvl w:val="0"/>
              <w:rPr>
                <w:noProof/>
                <w:sz w:val="22"/>
                <w:szCs w:val="22"/>
              </w:rPr>
            </w:pPr>
            <w:r w:rsidRPr="0006405C">
              <w:rPr>
                <w:sz w:val="22"/>
                <w:szCs w:val="22"/>
              </w:rPr>
              <w:t>The implementation of NAMAs and correspon</w:t>
            </w:r>
            <w:r w:rsidR="009D3288">
              <w:rPr>
                <w:sz w:val="22"/>
                <w:szCs w:val="22"/>
              </w:rPr>
              <w:t xml:space="preserve">ding MRV systems will require </w:t>
            </w:r>
            <w:r w:rsidRPr="0006405C">
              <w:rPr>
                <w:sz w:val="22"/>
                <w:szCs w:val="22"/>
              </w:rPr>
              <w:t>strong capacity and readiness of large set of diverse stakeholders, including private sec</w:t>
            </w:r>
            <w:r w:rsidR="009D3288">
              <w:rPr>
                <w:sz w:val="22"/>
                <w:szCs w:val="22"/>
              </w:rPr>
              <w:t>tor, professional associations</w:t>
            </w:r>
            <w:r w:rsidRPr="0006405C">
              <w:rPr>
                <w:sz w:val="22"/>
                <w:szCs w:val="22"/>
              </w:rPr>
              <w:t>, sub-national governments</w:t>
            </w:r>
            <w:r w:rsidR="009D3288">
              <w:rPr>
                <w:sz w:val="22"/>
                <w:szCs w:val="22"/>
              </w:rPr>
              <w:t>, NGOs</w:t>
            </w:r>
            <w:r w:rsidRPr="0006405C">
              <w:rPr>
                <w:sz w:val="22"/>
                <w:szCs w:val="22"/>
              </w:rPr>
              <w:t xml:space="preserve"> and public institutions. </w:t>
            </w:r>
            <w:r>
              <w:rPr>
                <w:sz w:val="22"/>
                <w:szCs w:val="22"/>
              </w:rPr>
              <w:t>The project will streng</w:t>
            </w:r>
            <w:r w:rsidRPr="0006405C">
              <w:rPr>
                <w:sz w:val="22"/>
                <w:szCs w:val="22"/>
              </w:rPr>
              <w:t>t</w:t>
            </w:r>
            <w:r>
              <w:rPr>
                <w:sz w:val="22"/>
                <w:szCs w:val="22"/>
              </w:rPr>
              <w:t>h</w:t>
            </w:r>
            <w:r w:rsidRPr="0006405C">
              <w:rPr>
                <w:sz w:val="22"/>
                <w:szCs w:val="22"/>
              </w:rPr>
              <w:t>en capacity of the required stakeholders in</w:t>
            </w:r>
            <w:r>
              <w:rPr>
                <w:sz w:val="22"/>
                <w:szCs w:val="22"/>
              </w:rPr>
              <w:t xml:space="preserve"> </w:t>
            </w:r>
            <w:r w:rsidRPr="0006405C">
              <w:rPr>
                <w:sz w:val="22"/>
                <w:szCs w:val="22"/>
              </w:rPr>
              <w:t xml:space="preserve">the design and implementation of mitigation </w:t>
            </w:r>
            <w:proofErr w:type="spellStart"/>
            <w:r w:rsidRPr="0006405C">
              <w:rPr>
                <w:sz w:val="22"/>
                <w:szCs w:val="22"/>
              </w:rPr>
              <w:t>programmes</w:t>
            </w:r>
            <w:proofErr w:type="spellEnd"/>
            <w:r w:rsidRPr="0006405C">
              <w:rPr>
                <w:sz w:val="22"/>
                <w:szCs w:val="22"/>
              </w:rPr>
              <w:t xml:space="preserve"> and the identification of funding sources and options, as well as MRV requirements.</w:t>
            </w:r>
          </w:p>
          <w:p w14:paraId="686A8407" w14:textId="77777777" w:rsidR="00301CF2" w:rsidRDefault="00A324D9" w:rsidP="00A324D9">
            <w:pPr>
              <w:spacing w:after="80"/>
              <w:outlineLvl w:val="0"/>
              <w:rPr>
                <w:noProof/>
                <w:sz w:val="22"/>
                <w:szCs w:val="22"/>
              </w:rPr>
            </w:pPr>
            <w:r w:rsidRPr="00A324D9">
              <w:rPr>
                <w:noProof/>
                <w:sz w:val="22"/>
                <w:szCs w:val="22"/>
              </w:rPr>
              <w:t xml:space="preserve">NAMAs will be separated in three categories depending on their characteristics: Unilateral NAMAs, Supported NAMAs and Credited NAMAs. Unilateral NAMAs will include mitigation actions that can be implemented unilaterally by the country, such as measures that have negative costs but need policy reforms to be promoted. The category of Supported NAMAs will be composed of actions that need </w:t>
            </w:r>
            <w:r w:rsidR="00412286">
              <w:rPr>
                <w:noProof/>
                <w:sz w:val="22"/>
                <w:szCs w:val="22"/>
              </w:rPr>
              <w:t>additional</w:t>
            </w:r>
            <w:r w:rsidRPr="00A324D9">
              <w:rPr>
                <w:noProof/>
                <w:sz w:val="22"/>
                <w:szCs w:val="22"/>
              </w:rPr>
              <w:t xml:space="preserve"> technology transfer and may have higher costs or entry barriers than current common practice. The option of Credited NAMAs will also be explored for mitigation actions that could be enocuraged through market mechanisms</w:t>
            </w:r>
            <w:r w:rsidR="00301CF2">
              <w:rPr>
                <w:noProof/>
                <w:sz w:val="22"/>
                <w:szCs w:val="22"/>
              </w:rPr>
              <w:t xml:space="preserve"> and other financial incentives.</w:t>
            </w:r>
          </w:p>
          <w:p w14:paraId="5957FDBF" w14:textId="77777777" w:rsidR="00A324D9" w:rsidRPr="00A324D9" w:rsidRDefault="00A324D9" w:rsidP="00A324D9">
            <w:pPr>
              <w:spacing w:after="80"/>
              <w:outlineLvl w:val="0"/>
              <w:rPr>
                <w:noProof/>
                <w:sz w:val="22"/>
                <w:szCs w:val="22"/>
              </w:rPr>
            </w:pPr>
            <w:r w:rsidRPr="008447B4">
              <w:rPr>
                <w:b/>
                <w:noProof/>
                <w:sz w:val="22"/>
                <w:szCs w:val="22"/>
              </w:rPr>
              <w:t xml:space="preserve">Component 3: </w:t>
            </w:r>
            <w:r w:rsidR="00913D81">
              <w:rPr>
                <w:b/>
                <w:noProof/>
                <w:sz w:val="22"/>
                <w:szCs w:val="22"/>
              </w:rPr>
              <w:t>I</w:t>
            </w:r>
            <w:r w:rsidRPr="008447B4">
              <w:rPr>
                <w:b/>
                <w:noProof/>
                <w:sz w:val="22"/>
                <w:szCs w:val="22"/>
              </w:rPr>
              <w:t>mplementation of NAMAs in the oil&amp;gas end-use secto</w:t>
            </w:r>
            <w:r w:rsidRPr="00A324D9">
              <w:rPr>
                <w:noProof/>
                <w:sz w:val="22"/>
                <w:szCs w:val="22"/>
              </w:rPr>
              <w:t>r</w:t>
            </w:r>
          </w:p>
          <w:p w14:paraId="1FAE763C" w14:textId="6D70ED6D" w:rsidR="00AC166E" w:rsidRDefault="009D3288" w:rsidP="00A324D9">
            <w:pPr>
              <w:spacing w:after="80"/>
              <w:outlineLvl w:val="0"/>
              <w:rPr>
                <w:noProof/>
                <w:sz w:val="22"/>
                <w:szCs w:val="22"/>
              </w:rPr>
            </w:pPr>
            <w:r>
              <w:rPr>
                <w:noProof/>
                <w:sz w:val="22"/>
                <w:szCs w:val="22"/>
              </w:rPr>
              <w:t>This component will support implementation of prioritized NAMAs, including both policy and financial instruments (</w:t>
            </w:r>
            <w:r w:rsidR="00177C8E">
              <w:rPr>
                <w:noProof/>
                <w:sz w:val="22"/>
                <w:szCs w:val="22"/>
              </w:rPr>
              <w:t xml:space="preserve">under </w:t>
            </w:r>
            <w:r>
              <w:rPr>
                <w:noProof/>
                <w:sz w:val="22"/>
                <w:szCs w:val="22"/>
              </w:rPr>
              <w:t>TA sub-component) and investment (</w:t>
            </w:r>
            <w:r w:rsidR="00177C8E">
              <w:rPr>
                <w:noProof/>
                <w:sz w:val="22"/>
                <w:szCs w:val="22"/>
              </w:rPr>
              <w:t xml:space="preserve">under </w:t>
            </w:r>
            <w:r>
              <w:rPr>
                <w:noProof/>
                <w:sz w:val="22"/>
                <w:szCs w:val="22"/>
              </w:rPr>
              <w:t xml:space="preserve">Inv sub-component). </w:t>
            </w:r>
            <w:r w:rsidR="00611508" w:rsidRPr="00611508">
              <w:rPr>
                <w:noProof/>
                <w:sz w:val="22"/>
                <w:szCs w:val="22"/>
                <w:highlight w:val="yellow"/>
              </w:rPr>
              <w:t>Sub-sectoral scope of pilot NAMAs will be identified and justified at PPG stage.</w:t>
            </w:r>
            <w:r w:rsidR="00611508">
              <w:rPr>
                <w:noProof/>
                <w:sz w:val="22"/>
                <w:szCs w:val="22"/>
              </w:rPr>
              <w:t xml:space="preserve"> </w:t>
            </w:r>
          </w:p>
          <w:p w14:paraId="02FA9A37" w14:textId="77777777" w:rsidR="00AC166E" w:rsidRDefault="00041B7D" w:rsidP="00AC166E">
            <w:pPr>
              <w:spacing w:after="80"/>
              <w:outlineLvl w:val="0"/>
              <w:rPr>
                <w:noProof/>
                <w:sz w:val="22"/>
                <w:szCs w:val="22"/>
              </w:rPr>
            </w:pPr>
            <w:r w:rsidRPr="00141016">
              <w:rPr>
                <w:noProof/>
                <w:sz w:val="22"/>
                <w:szCs w:val="22"/>
                <w:u w:val="single"/>
              </w:rPr>
              <w:t>TA sub-component</w:t>
            </w:r>
            <w:r>
              <w:rPr>
                <w:noProof/>
                <w:sz w:val="22"/>
                <w:szCs w:val="22"/>
              </w:rPr>
              <w:t xml:space="preserve">: </w:t>
            </w:r>
            <w:r w:rsidRPr="000779B8">
              <w:rPr>
                <w:noProof/>
                <w:sz w:val="22"/>
                <w:szCs w:val="22"/>
                <w:highlight w:val="yellow"/>
              </w:rPr>
              <w:t>GEF resou</w:t>
            </w:r>
            <w:r w:rsidR="00177C8E" w:rsidRPr="000779B8">
              <w:rPr>
                <w:noProof/>
                <w:sz w:val="22"/>
                <w:szCs w:val="22"/>
                <w:highlight w:val="yellow"/>
              </w:rPr>
              <w:t>rces will</w:t>
            </w:r>
            <w:r w:rsidR="00141016" w:rsidRPr="000779B8">
              <w:rPr>
                <w:noProof/>
                <w:sz w:val="22"/>
                <w:szCs w:val="22"/>
                <w:highlight w:val="yellow"/>
              </w:rPr>
              <w:t xml:space="preserve"> be used to facilitate</w:t>
            </w:r>
            <w:r w:rsidRPr="000779B8">
              <w:rPr>
                <w:noProof/>
                <w:sz w:val="22"/>
                <w:szCs w:val="22"/>
                <w:highlight w:val="yellow"/>
              </w:rPr>
              <w:t xml:space="preserve"> </w:t>
            </w:r>
            <w:r w:rsidR="00141016" w:rsidRPr="000779B8">
              <w:rPr>
                <w:noProof/>
                <w:sz w:val="22"/>
                <w:szCs w:val="22"/>
                <w:highlight w:val="yellow"/>
              </w:rPr>
              <w:t>p</w:t>
            </w:r>
            <w:r w:rsidRPr="000779B8">
              <w:rPr>
                <w:noProof/>
                <w:sz w:val="22"/>
                <w:szCs w:val="22"/>
                <w:highlight w:val="yellow"/>
              </w:rPr>
              <w:t xml:space="preserve">olicy dialogue </w:t>
            </w:r>
            <w:r w:rsidR="00141016" w:rsidRPr="000779B8">
              <w:rPr>
                <w:noProof/>
                <w:sz w:val="22"/>
                <w:szCs w:val="22"/>
                <w:highlight w:val="yellow"/>
              </w:rPr>
              <w:t>and put in place required policy, regulatory and financial instruments to de-risk investment in GHG emission reduction measures.</w:t>
            </w:r>
            <w:r w:rsidR="00141016">
              <w:rPr>
                <w:noProof/>
                <w:sz w:val="22"/>
                <w:szCs w:val="22"/>
              </w:rPr>
              <w:t xml:space="preserve"> For example, </w:t>
            </w:r>
            <w:r w:rsidR="00AC166E">
              <w:rPr>
                <w:noProof/>
                <w:sz w:val="22"/>
                <w:szCs w:val="22"/>
              </w:rPr>
              <w:t xml:space="preserve">policies </w:t>
            </w:r>
            <w:r w:rsidR="00AC166E" w:rsidRPr="00A324D9">
              <w:rPr>
                <w:noProof/>
                <w:sz w:val="22"/>
                <w:szCs w:val="22"/>
              </w:rPr>
              <w:t xml:space="preserve">to promote more efficient use of oil and gas and switch to renewable energy in </w:t>
            </w:r>
            <w:r w:rsidR="00D3789B">
              <w:rPr>
                <w:noProof/>
                <w:sz w:val="22"/>
                <w:szCs w:val="22"/>
              </w:rPr>
              <w:t xml:space="preserve">the </w:t>
            </w:r>
            <w:r w:rsidR="00AC166E" w:rsidRPr="00A324D9">
              <w:rPr>
                <w:noProof/>
                <w:sz w:val="22"/>
                <w:szCs w:val="22"/>
              </w:rPr>
              <w:t>residential sector</w:t>
            </w:r>
            <w:r w:rsidR="00077A08">
              <w:rPr>
                <w:noProof/>
                <w:sz w:val="22"/>
                <w:szCs w:val="22"/>
              </w:rPr>
              <w:t xml:space="preserve"> and</w:t>
            </w:r>
            <w:r w:rsidR="00AC166E" w:rsidRPr="00A324D9">
              <w:rPr>
                <w:noProof/>
                <w:sz w:val="22"/>
                <w:szCs w:val="22"/>
              </w:rPr>
              <w:t xml:space="preserve"> </w:t>
            </w:r>
            <w:r w:rsidR="00077A08">
              <w:rPr>
                <w:noProof/>
                <w:sz w:val="22"/>
                <w:szCs w:val="22"/>
              </w:rPr>
              <w:t>electricity</w:t>
            </w:r>
            <w:r>
              <w:rPr>
                <w:noProof/>
                <w:sz w:val="22"/>
                <w:szCs w:val="22"/>
              </w:rPr>
              <w:t xml:space="preserve"> generation</w:t>
            </w:r>
            <w:r w:rsidR="00AC166E" w:rsidRPr="00A324D9">
              <w:rPr>
                <w:noProof/>
                <w:sz w:val="22"/>
                <w:szCs w:val="22"/>
              </w:rPr>
              <w:t xml:space="preserve"> </w:t>
            </w:r>
            <w:r>
              <w:rPr>
                <w:noProof/>
                <w:sz w:val="22"/>
                <w:szCs w:val="22"/>
              </w:rPr>
              <w:t xml:space="preserve">might include </w:t>
            </w:r>
            <w:r w:rsidR="00AC166E" w:rsidRPr="00A324D9">
              <w:rPr>
                <w:noProof/>
                <w:sz w:val="22"/>
                <w:szCs w:val="22"/>
              </w:rPr>
              <w:t>energy/fuel efficiency standards for appl</w:t>
            </w:r>
            <w:r w:rsidR="00AC166E">
              <w:rPr>
                <w:noProof/>
                <w:sz w:val="22"/>
                <w:szCs w:val="22"/>
              </w:rPr>
              <w:t>iances</w:t>
            </w:r>
            <w:r w:rsidR="00077A08">
              <w:rPr>
                <w:noProof/>
                <w:sz w:val="22"/>
                <w:szCs w:val="22"/>
              </w:rPr>
              <w:t xml:space="preserve"> and buildings, </w:t>
            </w:r>
            <w:r>
              <w:rPr>
                <w:noProof/>
                <w:sz w:val="22"/>
                <w:szCs w:val="22"/>
              </w:rPr>
              <w:t>and feed-in tariff for renewables</w:t>
            </w:r>
            <w:r w:rsidR="00AC166E">
              <w:rPr>
                <w:noProof/>
                <w:sz w:val="22"/>
                <w:szCs w:val="22"/>
              </w:rPr>
              <w:t xml:space="preserve">. </w:t>
            </w:r>
          </w:p>
          <w:p w14:paraId="62FAEF38" w14:textId="77777777" w:rsidR="00A324D9" w:rsidRDefault="00AC166E" w:rsidP="00AC166E">
            <w:pPr>
              <w:spacing w:after="80"/>
              <w:outlineLvl w:val="0"/>
              <w:rPr>
                <w:noProof/>
                <w:sz w:val="22"/>
                <w:szCs w:val="22"/>
              </w:rPr>
            </w:pPr>
            <w:r>
              <w:rPr>
                <w:noProof/>
                <w:sz w:val="22"/>
                <w:szCs w:val="22"/>
              </w:rPr>
              <w:t>Financial instruments and incentives will also be proposed</w:t>
            </w:r>
            <w:r w:rsidR="00141016" w:rsidRPr="006E491C">
              <w:rPr>
                <w:noProof/>
                <w:sz w:val="22"/>
                <w:szCs w:val="22"/>
              </w:rPr>
              <w:t xml:space="preserve">. </w:t>
            </w:r>
            <w:r w:rsidR="000059A9" w:rsidRPr="006E491C">
              <w:rPr>
                <w:noProof/>
                <w:sz w:val="22"/>
                <w:szCs w:val="22"/>
              </w:rPr>
              <w:t xml:space="preserve">In this respect, </w:t>
            </w:r>
            <w:r w:rsidR="000059A9" w:rsidRPr="006E491C">
              <w:rPr>
                <w:sz w:val="22"/>
                <w:szCs w:val="22"/>
              </w:rPr>
              <w:t xml:space="preserve">exploiting current 11-fold difference between the domestic gas prices and export gas prices, can provide an offset subsidy to the renewables. </w:t>
            </w:r>
            <w:r w:rsidR="000059A9" w:rsidRPr="006E491C">
              <w:rPr>
                <w:noProof/>
                <w:sz w:val="22"/>
                <w:szCs w:val="22"/>
              </w:rPr>
              <w:t>The project will explore the feasibility of establishing a</w:t>
            </w:r>
            <w:r w:rsidRPr="006E491C">
              <w:rPr>
                <w:noProof/>
                <w:sz w:val="22"/>
                <w:szCs w:val="22"/>
              </w:rPr>
              <w:t xml:space="preserve"> “gas offset scheme” where gas, replaced by renewable generation/energy saving (“saved gas”) is used for export</w:t>
            </w:r>
            <w:r w:rsidR="00141016" w:rsidRPr="006E491C">
              <w:rPr>
                <w:noProof/>
                <w:sz w:val="22"/>
                <w:szCs w:val="22"/>
              </w:rPr>
              <w:t xml:space="preserve"> and the difference between </w:t>
            </w:r>
            <w:r w:rsidRPr="006E491C">
              <w:rPr>
                <w:noProof/>
                <w:sz w:val="22"/>
                <w:szCs w:val="22"/>
              </w:rPr>
              <w:t xml:space="preserve">domestic and international price of gas (45AZN/1000m3 – domestic price </w:t>
            </w:r>
            <w:r w:rsidR="000059A9" w:rsidRPr="006E491C">
              <w:rPr>
                <w:noProof/>
                <w:sz w:val="22"/>
                <w:szCs w:val="22"/>
              </w:rPr>
              <w:t xml:space="preserve">vis-à-vis </w:t>
            </w:r>
            <w:r w:rsidRPr="006E491C">
              <w:rPr>
                <w:noProof/>
                <w:sz w:val="22"/>
                <w:szCs w:val="22"/>
              </w:rPr>
              <w:t>300AZN/1000m3 – export price) can subsidize energy saving or renewable energy projects in</w:t>
            </w:r>
            <w:r>
              <w:rPr>
                <w:noProof/>
                <w:sz w:val="22"/>
                <w:szCs w:val="22"/>
              </w:rPr>
              <w:t xml:space="preserve"> prioritize</w:t>
            </w:r>
            <w:r w:rsidR="00141016">
              <w:rPr>
                <w:noProof/>
                <w:sz w:val="22"/>
                <w:szCs w:val="22"/>
              </w:rPr>
              <w:t xml:space="preserve">d </w:t>
            </w:r>
            <w:r w:rsidR="00141016" w:rsidRPr="000059A9">
              <w:rPr>
                <w:noProof/>
                <w:sz w:val="22"/>
                <w:szCs w:val="22"/>
              </w:rPr>
              <w:t xml:space="preserve">NAMAs. </w:t>
            </w:r>
            <w:r w:rsidRPr="000059A9">
              <w:rPr>
                <w:noProof/>
                <w:sz w:val="22"/>
                <w:szCs w:val="22"/>
              </w:rPr>
              <w:t>In that respect</w:t>
            </w:r>
            <w:r>
              <w:rPr>
                <w:noProof/>
                <w:sz w:val="22"/>
                <w:szCs w:val="22"/>
              </w:rPr>
              <w:t xml:space="preserve"> SOCAR’s </w:t>
            </w:r>
            <w:r w:rsidR="00141016">
              <w:rPr>
                <w:noProof/>
                <w:sz w:val="22"/>
                <w:szCs w:val="22"/>
              </w:rPr>
              <w:t>full engagement is critical: the</w:t>
            </w:r>
            <w:r>
              <w:rPr>
                <w:noProof/>
                <w:sz w:val="22"/>
                <w:szCs w:val="22"/>
              </w:rPr>
              <w:t xml:space="preserve"> company is the only entity in Azerbaijan which can monetize the domestic/international oil and gas price difference and thus serve as a </w:t>
            </w:r>
            <w:r>
              <w:rPr>
                <w:noProof/>
                <w:sz w:val="22"/>
                <w:szCs w:val="22"/>
              </w:rPr>
              <w:lastRenderedPageBreak/>
              <w:t>source of additional financing for NAMA implementation.</w:t>
            </w:r>
            <w:r w:rsidR="00141016">
              <w:rPr>
                <w:noProof/>
                <w:sz w:val="22"/>
                <w:szCs w:val="22"/>
              </w:rPr>
              <w:t xml:space="preserve"> Other instruments to be </w:t>
            </w:r>
            <w:r w:rsidR="00A324D9" w:rsidRPr="00A324D9">
              <w:rPr>
                <w:noProof/>
                <w:sz w:val="22"/>
                <w:szCs w:val="22"/>
              </w:rPr>
              <w:t xml:space="preserve">assessed </w:t>
            </w:r>
            <w:r w:rsidR="00141016">
              <w:rPr>
                <w:noProof/>
                <w:sz w:val="22"/>
                <w:szCs w:val="22"/>
              </w:rPr>
              <w:t>are</w:t>
            </w:r>
            <w:r w:rsidR="00A324D9" w:rsidRPr="00A324D9">
              <w:rPr>
                <w:noProof/>
                <w:sz w:val="22"/>
                <w:szCs w:val="22"/>
              </w:rPr>
              <w:t xml:space="preserve"> fiscal incentives</w:t>
            </w:r>
            <w:r w:rsidR="00D3789B">
              <w:rPr>
                <w:noProof/>
                <w:sz w:val="22"/>
                <w:szCs w:val="22"/>
              </w:rPr>
              <w:t xml:space="preserve">,a </w:t>
            </w:r>
            <w:r w:rsidR="00141016">
              <w:rPr>
                <w:noProof/>
                <w:sz w:val="22"/>
                <w:szCs w:val="22"/>
              </w:rPr>
              <w:t xml:space="preserve">feed-in </w:t>
            </w:r>
            <w:r w:rsidR="00A324D9" w:rsidRPr="00A324D9">
              <w:rPr>
                <w:noProof/>
                <w:sz w:val="22"/>
                <w:szCs w:val="22"/>
              </w:rPr>
              <w:t xml:space="preserve">tariff, </w:t>
            </w:r>
            <w:r w:rsidR="00141016">
              <w:rPr>
                <w:noProof/>
                <w:sz w:val="22"/>
                <w:szCs w:val="22"/>
              </w:rPr>
              <w:t xml:space="preserve">and energy performance contracting with </w:t>
            </w:r>
            <w:r w:rsidR="00A324D9" w:rsidRPr="00A324D9">
              <w:rPr>
                <w:noProof/>
                <w:sz w:val="22"/>
                <w:szCs w:val="22"/>
              </w:rPr>
              <w:t>ESCOs.</w:t>
            </w:r>
            <w:r>
              <w:rPr>
                <w:noProof/>
                <w:sz w:val="22"/>
                <w:szCs w:val="22"/>
              </w:rPr>
              <w:t xml:space="preserve"> </w:t>
            </w:r>
          </w:p>
          <w:p w14:paraId="4FB81CE0" w14:textId="2F5FD850" w:rsidR="003F6882" w:rsidRPr="00DF40B0" w:rsidRDefault="00141016" w:rsidP="00AC166E">
            <w:pPr>
              <w:spacing w:after="80"/>
              <w:outlineLvl w:val="0"/>
              <w:rPr>
                <w:noProof/>
                <w:sz w:val="22"/>
                <w:szCs w:val="22"/>
              </w:rPr>
            </w:pPr>
            <w:r w:rsidRPr="00A324D9">
              <w:rPr>
                <w:noProof/>
                <w:sz w:val="22"/>
                <w:szCs w:val="22"/>
              </w:rPr>
              <w:t xml:space="preserve">For at least one of the selected </w:t>
            </w:r>
            <w:r>
              <w:rPr>
                <w:noProof/>
                <w:sz w:val="22"/>
                <w:szCs w:val="22"/>
              </w:rPr>
              <w:t>NAMA</w:t>
            </w:r>
            <w:r w:rsidRPr="00A324D9">
              <w:rPr>
                <w:noProof/>
                <w:sz w:val="22"/>
                <w:szCs w:val="22"/>
              </w:rPr>
              <w:t>, potential scaled up mitigation market mechanisms will be explored and designed, in particular sectoral crediting and voluntary sectoral domestic carbon markets. The sectoral crediting mechanism will require the establishment of sectoral targets and dynamic baseline levels</w:t>
            </w:r>
            <w:r>
              <w:rPr>
                <w:noProof/>
                <w:sz w:val="22"/>
                <w:szCs w:val="22"/>
              </w:rPr>
              <w:t>:</w:t>
            </w:r>
            <w:r w:rsidRPr="00A324D9">
              <w:rPr>
                <w:noProof/>
                <w:sz w:val="22"/>
                <w:szCs w:val="22"/>
              </w:rPr>
              <w:t xml:space="preserve"> a sectoral emission target, set below the business as usual (BAU) emissions, will be established, to be accomplished in a given timeframe through the implementation of domestic policies </w:t>
            </w:r>
            <w:r>
              <w:rPr>
                <w:noProof/>
                <w:sz w:val="22"/>
                <w:szCs w:val="22"/>
              </w:rPr>
              <w:t>and investment</w:t>
            </w:r>
            <w:r w:rsidRPr="00A324D9">
              <w:rPr>
                <w:noProof/>
                <w:sz w:val="22"/>
                <w:szCs w:val="22"/>
              </w:rPr>
              <w:t xml:space="preserve">. Through an agreement established with an Annex I country, the Government of Azerbaijan would issue, at the end of the period agreed (ex post), carbon credits for any additional emission reductions below the established targets. </w:t>
            </w:r>
            <w:r w:rsidR="00611508" w:rsidRPr="00F6780C">
              <w:rPr>
                <w:noProof/>
                <w:sz w:val="22"/>
                <w:szCs w:val="22"/>
                <w:highlight w:val="yellow"/>
              </w:rPr>
              <w:t xml:space="preserve">At PIF preparation stage, the Government and SOCAR expressed </w:t>
            </w:r>
            <w:r w:rsidR="00F6780C" w:rsidRPr="00F6780C">
              <w:rPr>
                <w:noProof/>
                <w:sz w:val="22"/>
                <w:szCs w:val="22"/>
                <w:highlight w:val="yellow"/>
              </w:rPr>
              <w:t>their strong interest</w:t>
            </w:r>
            <w:r w:rsidR="00611508" w:rsidRPr="00F6780C">
              <w:rPr>
                <w:noProof/>
                <w:sz w:val="22"/>
                <w:szCs w:val="22"/>
                <w:highlight w:val="yellow"/>
              </w:rPr>
              <w:t xml:space="preserve"> in piloting such approach</w:t>
            </w:r>
            <w:r w:rsidR="00F6780C" w:rsidRPr="00F6780C">
              <w:rPr>
                <w:noProof/>
                <w:sz w:val="22"/>
                <w:szCs w:val="22"/>
                <w:highlight w:val="yellow"/>
              </w:rPr>
              <w:t xml:space="preserve"> and thus move beyond project-based offsetting mechanisms, such as CDM.</w:t>
            </w:r>
            <w:r w:rsidR="00F6780C">
              <w:rPr>
                <w:noProof/>
                <w:sz w:val="22"/>
                <w:szCs w:val="22"/>
              </w:rPr>
              <w:t xml:space="preserve"> </w:t>
            </w:r>
          </w:p>
          <w:p w14:paraId="65388C92" w14:textId="77777777" w:rsidR="00A324D9" w:rsidRPr="00DF40B0" w:rsidRDefault="00141016" w:rsidP="00A324D9">
            <w:pPr>
              <w:spacing w:after="80"/>
              <w:outlineLvl w:val="0"/>
              <w:rPr>
                <w:noProof/>
                <w:sz w:val="22"/>
                <w:szCs w:val="22"/>
              </w:rPr>
            </w:pPr>
            <w:r w:rsidRPr="00DF40B0">
              <w:rPr>
                <w:noProof/>
                <w:sz w:val="22"/>
                <w:szCs w:val="22"/>
                <w:u w:val="single"/>
              </w:rPr>
              <w:t>Investment sub-component</w:t>
            </w:r>
            <w:r w:rsidRPr="00DF40B0">
              <w:rPr>
                <w:noProof/>
                <w:sz w:val="22"/>
                <w:szCs w:val="22"/>
              </w:rPr>
              <w:t xml:space="preserve">: </w:t>
            </w:r>
          </w:p>
          <w:p w14:paraId="4575BD04" w14:textId="77777777" w:rsidR="00FA2AF8" w:rsidRPr="0026350B" w:rsidRDefault="00FA2AF8" w:rsidP="00FA2AF8">
            <w:pPr>
              <w:spacing w:after="80"/>
              <w:outlineLvl w:val="0"/>
              <w:rPr>
                <w:sz w:val="22"/>
                <w:szCs w:val="22"/>
              </w:rPr>
            </w:pPr>
            <w:r w:rsidRPr="0026350B">
              <w:rPr>
                <w:sz w:val="22"/>
                <w:szCs w:val="22"/>
              </w:rPr>
              <w:t>The exact list of investment projects to be implemented will be defined based on abatement cost curves (to be developed under Component 2) as part of NAMA design. Following is the list of the most promising investment projects based on the preliminary analysis and consultation with partners undertaken at PIF preparation stage:</w:t>
            </w:r>
          </w:p>
          <w:p w14:paraId="50E12595" w14:textId="77777777" w:rsidR="00FA2AF8" w:rsidRPr="00077A08" w:rsidRDefault="00FA2AF8" w:rsidP="00FA2AF8">
            <w:pPr>
              <w:numPr>
                <w:ilvl w:val="0"/>
                <w:numId w:val="30"/>
              </w:numPr>
              <w:spacing w:after="80"/>
              <w:outlineLvl w:val="0"/>
              <w:rPr>
                <w:sz w:val="22"/>
                <w:szCs w:val="22"/>
              </w:rPr>
            </w:pPr>
            <w:r w:rsidRPr="00077A08">
              <w:rPr>
                <w:sz w:val="22"/>
                <w:szCs w:val="22"/>
              </w:rPr>
              <w:t xml:space="preserve">Energy generation (fuel switch): grid-connected wind power plant to scale up of SOCAR’s pilot investment in 1.5 MW wind project. </w:t>
            </w:r>
          </w:p>
          <w:p w14:paraId="686BAAE1" w14:textId="0B1F6E7E" w:rsidR="00FA2AF8" w:rsidRPr="00077A08" w:rsidRDefault="00FA2AF8" w:rsidP="00FA2AF8">
            <w:pPr>
              <w:numPr>
                <w:ilvl w:val="0"/>
                <w:numId w:val="30"/>
              </w:numPr>
              <w:spacing w:after="80"/>
              <w:outlineLvl w:val="0"/>
              <w:rPr>
                <w:sz w:val="22"/>
                <w:szCs w:val="22"/>
              </w:rPr>
            </w:pPr>
            <w:r w:rsidRPr="00077A08">
              <w:rPr>
                <w:sz w:val="22"/>
                <w:szCs w:val="22"/>
              </w:rPr>
              <w:t>Energy use in buildings/</w:t>
            </w:r>
            <w:r w:rsidR="00DD3F6D">
              <w:rPr>
                <w:sz w:val="22"/>
                <w:szCs w:val="22"/>
              </w:rPr>
              <w:t>heat</w:t>
            </w:r>
            <w:r w:rsidRPr="00077A08">
              <w:rPr>
                <w:sz w:val="22"/>
                <w:szCs w:val="22"/>
              </w:rPr>
              <w:t xml:space="preserve"> generation (energy saving/fuel switch): solar water heating and energy efficient retrofits in public and residential buildings </w:t>
            </w:r>
          </w:p>
          <w:p w14:paraId="05876D35" w14:textId="4F538AE1" w:rsidR="00FA2AF8" w:rsidRPr="00077A08" w:rsidRDefault="00FA2AF8" w:rsidP="00FA2AF8">
            <w:pPr>
              <w:spacing w:after="80"/>
              <w:outlineLvl w:val="0"/>
              <w:rPr>
                <w:sz w:val="22"/>
                <w:szCs w:val="22"/>
              </w:rPr>
            </w:pPr>
            <w:r w:rsidRPr="00077A08">
              <w:rPr>
                <w:noProof/>
                <w:sz w:val="22"/>
                <w:szCs w:val="22"/>
              </w:rPr>
              <w:t xml:space="preserve">Investments required for implementation of NAMAs will be funded through a combination of sources: unilateral NAMAs will be </w:t>
            </w:r>
            <w:r w:rsidRPr="00077A08">
              <w:rPr>
                <w:sz w:val="22"/>
                <w:szCs w:val="22"/>
              </w:rPr>
              <w:t>financed by domestic sources, Supported NAMAs will be implemented by a combination of domestic resources and GEF, and Creditted NAMA will be financed from the revenues raised through international carbon markets.</w:t>
            </w:r>
            <w:r w:rsidR="00F6780C">
              <w:rPr>
                <w:sz w:val="22"/>
                <w:szCs w:val="22"/>
              </w:rPr>
              <w:t xml:space="preserve"> </w:t>
            </w:r>
            <w:r w:rsidR="00F6780C" w:rsidRPr="00F6780C">
              <w:rPr>
                <w:sz w:val="22"/>
                <w:szCs w:val="22"/>
                <w:highlight w:val="yellow"/>
              </w:rPr>
              <w:t>GEF resources will not be used to support implementation of credited NAMA to avoid double-counting of resulting GHG emission reductions.</w:t>
            </w:r>
            <w:r w:rsidR="00F6780C" w:rsidRPr="00F6780C">
              <w:rPr>
                <w:sz w:val="22"/>
                <w:szCs w:val="22"/>
              </w:rPr>
              <w:t xml:space="preserve"> </w:t>
            </w:r>
            <w:r w:rsidRPr="00077A08">
              <w:rPr>
                <w:sz w:val="22"/>
                <w:szCs w:val="22"/>
              </w:rPr>
              <w:t xml:space="preserve"> </w:t>
            </w:r>
          </w:p>
          <w:p w14:paraId="37753A35" w14:textId="1A9F2AF1" w:rsidR="00F60EA6" w:rsidRPr="00077A08" w:rsidRDefault="00FA2AF8" w:rsidP="00FA2AF8">
            <w:pPr>
              <w:spacing w:after="80"/>
              <w:outlineLvl w:val="0"/>
              <w:rPr>
                <w:noProof/>
                <w:sz w:val="22"/>
                <w:szCs w:val="22"/>
              </w:rPr>
            </w:pPr>
            <w:r w:rsidRPr="00077A08">
              <w:rPr>
                <w:noProof/>
                <w:sz w:val="22"/>
                <w:szCs w:val="22"/>
              </w:rPr>
              <w:t xml:space="preserve">Resources allocated by SOCAR for implementation of its climate change strategy, e.g. for demand-side management (smart metering and consumption-based biling) and pilot renewable energy (wind and solar) investment, will represent a baseline funding for this component (15 mln US$). </w:t>
            </w:r>
            <w:r w:rsidRPr="0081774E">
              <w:rPr>
                <w:noProof/>
                <w:sz w:val="22"/>
                <w:szCs w:val="22"/>
                <w:highlight w:val="yellow"/>
              </w:rPr>
              <w:t>On top of that, SOCAR will allocate additional 15 mln US$ for implementation of prioritized NAMAs</w:t>
            </w:r>
            <w:r w:rsidR="0081774E" w:rsidRPr="0081774E">
              <w:rPr>
                <w:noProof/>
                <w:sz w:val="22"/>
                <w:szCs w:val="22"/>
                <w:highlight w:val="yellow"/>
              </w:rPr>
              <w:t xml:space="preserve"> as part of company’s political commitment to contribut</w:t>
            </w:r>
            <w:r w:rsidR="00A51C0D">
              <w:rPr>
                <w:noProof/>
                <w:sz w:val="22"/>
                <w:szCs w:val="22"/>
                <w:highlight w:val="yellow"/>
              </w:rPr>
              <w:t>e</w:t>
            </w:r>
            <w:r w:rsidR="0081774E" w:rsidRPr="0081774E">
              <w:rPr>
                <w:noProof/>
                <w:sz w:val="22"/>
                <w:szCs w:val="22"/>
                <w:highlight w:val="yellow"/>
              </w:rPr>
              <w:t xml:space="preserve"> to climate change mitigation activities </w:t>
            </w:r>
            <w:r w:rsidR="00A51C0D">
              <w:rPr>
                <w:noProof/>
                <w:sz w:val="22"/>
                <w:szCs w:val="22"/>
                <w:highlight w:val="yellow"/>
              </w:rPr>
              <w:t>and achieve its voluntary target</w:t>
            </w:r>
            <w:r w:rsidRPr="0081774E">
              <w:rPr>
                <w:noProof/>
                <w:sz w:val="22"/>
                <w:szCs w:val="22"/>
                <w:highlight w:val="yellow"/>
              </w:rPr>
              <w:t>.</w:t>
            </w:r>
            <w:r w:rsidRPr="00077A08">
              <w:rPr>
                <w:noProof/>
                <w:sz w:val="22"/>
                <w:szCs w:val="22"/>
              </w:rPr>
              <w:t xml:space="preserve"> </w:t>
            </w:r>
            <w:r w:rsidR="00F60EA6" w:rsidRPr="00077A08">
              <w:rPr>
                <w:noProof/>
                <w:sz w:val="22"/>
                <w:szCs w:val="22"/>
              </w:rPr>
              <w:t>GEF resources will only be used to provide incremental investment (in proportion of 1 (GEF):23(SOCAR)) in cost-effective GHG emision reduction activities (i.e. below 2</w:t>
            </w:r>
            <w:r w:rsidR="00235F00" w:rsidRPr="00077A08">
              <w:rPr>
                <w:noProof/>
                <w:sz w:val="22"/>
                <w:szCs w:val="22"/>
              </w:rPr>
              <w:t>5</w:t>
            </w:r>
            <w:r w:rsidR="00F60EA6" w:rsidRPr="00077A08">
              <w:rPr>
                <w:noProof/>
                <w:sz w:val="22"/>
                <w:szCs w:val="22"/>
              </w:rPr>
              <w:t xml:space="preserve"> US$/tCO2 or less). </w:t>
            </w:r>
          </w:p>
          <w:p w14:paraId="2746E6B0" w14:textId="77777777" w:rsidR="00FA2AF8" w:rsidRPr="00A324D9" w:rsidRDefault="00FA2AF8" w:rsidP="00FA2AF8">
            <w:pPr>
              <w:spacing w:after="80"/>
              <w:outlineLvl w:val="0"/>
              <w:rPr>
                <w:noProof/>
                <w:sz w:val="22"/>
                <w:szCs w:val="22"/>
              </w:rPr>
            </w:pPr>
            <w:r w:rsidRPr="00077A08">
              <w:rPr>
                <w:noProof/>
                <w:sz w:val="22"/>
                <w:szCs w:val="22"/>
              </w:rPr>
              <w:t>As the NAMAs’ design and structure are finalized, additional sources of financing will be identified and leveraged for their implementation including public funds, international</w:t>
            </w:r>
            <w:r w:rsidRPr="00A324D9">
              <w:rPr>
                <w:noProof/>
                <w:sz w:val="22"/>
                <w:szCs w:val="22"/>
              </w:rPr>
              <w:t xml:space="preserve"> cooperation, investment from the private sector and carbon finance. </w:t>
            </w:r>
          </w:p>
          <w:p w14:paraId="660CA2D6" w14:textId="77777777" w:rsidR="00A324D9" w:rsidRPr="00A324D9" w:rsidRDefault="00A324D9" w:rsidP="00A324D9">
            <w:pPr>
              <w:spacing w:after="80"/>
              <w:outlineLvl w:val="0"/>
              <w:rPr>
                <w:noProof/>
                <w:sz w:val="22"/>
                <w:szCs w:val="22"/>
              </w:rPr>
            </w:pPr>
          </w:p>
          <w:p w14:paraId="0DCFCEBA" w14:textId="77777777" w:rsidR="00A324D9" w:rsidRPr="008447B4" w:rsidRDefault="00A324D9" w:rsidP="00A324D9">
            <w:pPr>
              <w:spacing w:after="80"/>
              <w:outlineLvl w:val="0"/>
              <w:rPr>
                <w:b/>
                <w:noProof/>
                <w:sz w:val="22"/>
                <w:szCs w:val="22"/>
              </w:rPr>
            </w:pPr>
            <w:r w:rsidRPr="008447B4">
              <w:rPr>
                <w:b/>
                <w:noProof/>
                <w:sz w:val="22"/>
                <w:szCs w:val="22"/>
              </w:rPr>
              <w:t>Component 4: MRV system and national registry for mitigation actions in the oil&amp;gas end-use sector</w:t>
            </w:r>
          </w:p>
          <w:p w14:paraId="783A6705" w14:textId="77777777" w:rsidR="00A324D9" w:rsidRPr="00A324D9" w:rsidRDefault="00A324D9" w:rsidP="00A324D9">
            <w:pPr>
              <w:spacing w:after="80"/>
              <w:outlineLvl w:val="0"/>
              <w:rPr>
                <w:noProof/>
                <w:sz w:val="22"/>
                <w:szCs w:val="22"/>
              </w:rPr>
            </w:pPr>
            <w:r w:rsidRPr="00A324D9">
              <w:rPr>
                <w:noProof/>
                <w:sz w:val="22"/>
                <w:szCs w:val="22"/>
              </w:rPr>
              <w:t xml:space="preserve">MENR, as the governing body in Azerbaijan for climate change, will be in charge of setting a national registry mechanism for mitigation actions. A specific section of the registry will be for actions implemented in the oil&amp;gas end-use sector. </w:t>
            </w:r>
            <w:r w:rsidR="006E491C">
              <w:rPr>
                <w:noProof/>
                <w:sz w:val="22"/>
                <w:szCs w:val="22"/>
              </w:rPr>
              <w:t>Also</w:t>
            </w:r>
            <w:r w:rsidRPr="00A324D9">
              <w:rPr>
                <w:noProof/>
                <w:sz w:val="22"/>
                <w:szCs w:val="22"/>
              </w:rPr>
              <w:t>, specific measurement, reporting and verificitation systems will be established and impl</w:t>
            </w:r>
            <w:r w:rsidR="00D3789B">
              <w:rPr>
                <w:noProof/>
                <w:sz w:val="22"/>
                <w:szCs w:val="22"/>
              </w:rPr>
              <w:t>e</w:t>
            </w:r>
            <w:r w:rsidRPr="00A324D9">
              <w:rPr>
                <w:noProof/>
                <w:sz w:val="22"/>
                <w:szCs w:val="22"/>
              </w:rPr>
              <w:t xml:space="preserve">mented for the three </w:t>
            </w:r>
            <w:r w:rsidR="006E491C">
              <w:rPr>
                <w:noProof/>
                <w:sz w:val="22"/>
                <w:szCs w:val="22"/>
              </w:rPr>
              <w:t xml:space="preserve">selected </w:t>
            </w:r>
            <w:r w:rsidRPr="00A324D9">
              <w:rPr>
                <w:noProof/>
                <w:sz w:val="22"/>
                <w:szCs w:val="22"/>
              </w:rPr>
              <w:t xml:space="preserve">NAMAs through the component 3 of the project. </w:t>
            </w:r>
            <w:r w:rsidR="006E491C" w:rsidRPr="00A324D9">
              <w:rPr>
                <w:noProof/>
                <w:sz w:val="22"/>
                <w:szCs w:val="22"/>
              </w:rPr>
              <w:t>Furthermore, national MRV guidelines and standard methodologies for the selected subsectors will be developed</w:t>
            </w:r>
            <w:r w:rsidR="006E491C">
              <w:rPr>
                <w:noProof/>
                <w:sz w:val="22"/>
                <w:szCs w:val="22"/>
              </w:rPr>
              <w:t xml:space="preserve"> and adopted</w:t>
            </w:r>
            <w:r w:rsidR="006E491C" w:rsidRPr="00A324D9">
              <w:rPr>
                <w:noProof/>
                <w:sz w:val="22"/>
                <w:szCs w:val="22"/>
              </w:rPr>
              <w:t>.</w:t>
            </w:r>
          </w:p>
          <w:p w14:paraId="738F2685" w14:textId="77777777" w:rsidR="00870816" w:rsidRDefault="00A324D9" w:rsidP="00A324D9">
            <w:pPr>
              <w:spacing w:after="80"/>
              <w:outlineLvl w:val="0"/>
              <w:rPr>
                <w:noProof/>
                <w:sz w:val="22"/>
                <w:szCs w:val="22"/>
              </w:rPr>
            </w:pPr>
            <w:r w:rsidRPr="00A324D9">
              <w:rPr>
                <w:noProof/>
                <w:sz w:val="22"/>
                <w:szCs w:val="22"/>
              </w:rPr>
              <w:t>A MRV committee will be established for each selected NAMA that will have the responsibility of measuring and collecting data (M), communicate results based on the data collected (R) and verifying the data (V). The committee will also identify specific needs of capacity development for local technical professionals in order to ensure a quality MRV of the NAMAs.</w:t>
            </w:r>
            <w:r w:rsidR="006E491C">
              <w:rPr>
                <w:noProof/>
                <w:sz w:val="22"/>
                <w:szCs w:val="22"/>
              </w:rPr>
              <w:t xml:space="preserve"> </w:t>
            </w:r>
            <w:r w:rsidRPr="00A324D9">
              <w:rPr>
                <w:noProof/>
                <w:sz w:val="22"/>
                <w:szCs w:val="22"/>
              </w:rPr>
              <w:t xml:space="preserve">Training will be organized on MRV requirements and procedures to enhance technical capacity and ensure the availability of capable and </w:t>
            </w:r>
            <w:r w:rsidRPr="00A324D9">
              <w:rPr>
                <w:noProof/>
                <w:sz w:val="22"/>
                <w:szCs w:val="22"/>
              </w:rPr>
              <w:lastRenderedPageBreak/>
              <w:t>qualified local technical professionals to conduct MRV for NAMAs in the oil&amp;gas end-use sector</w:t>
            </w:r>
            <w:bookmarkEnd w:id="54"/>
          </w:p>
          <w:p w14:paraId="55C5B852" w14:textId="77777777" w:rsidR="00AC166E" w:rsidRDefault="00AC166E" w:rsidP="00A324D9">
            <w:pPr>
              <w:spacing w:after="80"/>
              <w:outlineLvl w:val="0"/>
              <w:rPr>
                <w:noProof/>
                <w:sz w:val="22"/>
                <w:szCs w:val="22"/>
              </w:rPr>
            </w:pPr>
          </w:p>
          <w:p w14:paraId="1D3D134F" w14:textId="77777777" w:rsidR="00544595" w:rsidRDefault="00544595" w:rsidP="00A324D9">
            <w:pPr>
              <w:spacing w:after="80"/>
              <w:outlineLvl w:val="0"/>
            </w:pPr>
          </w:p>
          <w:p w14:paraId="4B1A784B" w14:textId="77777777" w:rsidR="00AC166E" w:rsidRPr="00D14DC5" w:rsidRDefault="00AC166E" w:rsidP="00A324D9">
            <w:pPr>
              <w:spacing w:after="80"/>
              <w:outlineLvl w:val="0"/>
              <w:rPr>
                <w:sz w:val="22"/>
                <w:szCs w:val="22"/>
                <w:u w:val="single"/>
              </w:rPr>
            </w:pPr>
            <w:r w:rsidRPr="00D14DC5">
              <w:rPr>
                <w:sz w:val="22"/>
                <w:szCs w:val="22"/>
                <w:u w:val="single"/>
              </w:rPr>
              <w:t xml:space="preserve">5) </w:t>
            </w:r>
            <w:r w:rsidR="00544595" w:rsidRPr="00D14DC5">
              <w:rPr>
                <w:sz w:val="22"/>
                <w:szCs w:val="22"/>
                <w:u w:val="single"/>
              </w:rPr>
              <w:t>G</w:t>
            </w:r>
            <w:r w:rsidRPr="00D14DC5">
              <w:rPr>
                <w:sz w:val="22"/>
                <w:szCs w:val="22"/>
                <w:u w:val="single"/>
              </w:rPr>
              <w:t xml:space="preserve">lobal environmental benefits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417"/>
              <w:gridCol w:w="4536"/>
            </w:tblGrid>
            <w:tr w:rsidR="00D14DC5" w:rsidRPr="00D14DC5" w14:paraId="077C9BC8" w14:textId="77777777" w:rsidTr="005C43D2">
              <w:tc>
                <w:tcPr>
                  <w:tcW w:w="1413" w:type="dxa"/>
                  <w:shd w:val="clear" w:color="auto" w:fill="auto"/>
                </w:tcPr>
                <w:p w14:paraId="5185B0BC" w14:textId="77777777" w:rsidR="00D14DC5" w:rsidRPr="00D14DC5" w:rsidRDefault="00D14DC5" w:rsidP="00D14DC5">
                  <w:pPr>
                    <w:rPr>
                      <w:sz w:val="20"/>
                      <w:szCs w:val="20"/>
                    </w:rPr>
                  </w:pPr>
                  <w:r w:rsidRPr="00D14DC5">
                    <w:rPr>
                      <w:sz w:val="20"/>
                      <w:szCs w:val="20"/>
                    </w:rPr>
                    <w:t>GHG emission reductions</w:t>
                  </w:r>
                </w:p>
              </w:tc>
              <w:tc>
                <w:tcPr>
                  <w:tcW w:w="1843" w:type="dxa"/>
                  <w:shd w:val="clear" w:color="auto" w:fill="auto"/>
                </w:tcPr>
                <w:p w14:paraId="10D9EDD2" w14:textId="77777777" w:rsidR="00D14DC5" w:rsidRPr="00D14DC5" w:rsidRDefault="00D14DC5" w:rsidP="00D14DC5">
                  <w:pPr>
                    <w:rPr>
                      <w:sz w:val="20"/>
                      <w:szCs w:val="20"/>
                    </w:rPr>
                  </w:pPr>
                  <w:r w:rsidRPr="00D14DC5">
                    <w:rPr>
                      <w:sz w:val="20"/>
                      <w:szCs w:val="20"/>
                    </w:rPr>
                    <w:t>Project Component</w:t>
                  </w:r>
                </w:p>
              </w:tc>
              <w:tc>
                <w:tcPr>
                  <w:tcW w:w="1417" w:type="dxa"/>
                  <w:shd w:val="clear" w:color="auto" w:fill="auto"/>
                </w:tcPr>
                <w:p w14:paraId="13855CBF" w14:textId="77777777" w:rsidR="00D14DC5" w:rsidRPr="00D14DC5" w:rsidRDefault="00D14DC5" w:rsidP="00D14DC5">
                  <w:pPr>
                    <w:rPr>
                      <w:sz w:val="20"/>
                      <w:szCs w:val="20"/>
                    </w:rPr>
                  </w:pPr>
                  <w:r w:rsidRPr="00D14DC5">
                    <w:rPr>
                      <w:sz w:val="20"/>
                      <w:szCs w:val="20"/>
                    </w:rPr>
                    <w:t>tCO2</w:t>
                  </w:r>
                  <w:r>
                    <w:rPr>
                      <w:sz w:val="20"/>
                      <w:szCs w:val="20"/>
                    </w:rPr>
                    <w:t>e</w:t>
                  </w:r>
                  <w:r w:rsidRPr="00D14DC5">
                    <w:rPr>
                      <w:sz w:val="20"/>
                      <w:szCs w:val="20"/>
                    </w:rPr>
                    <w:t xml:space="preserve"> (cumulative)</w:t>
                  </w:r>
                </w:p>
              </w:tc>
              <w:tc>
                <w:tcPr>
                  <w:tcW w:w="4536" w:type="dxa"/>
                  <w:shd w:val="clear" w:color="auto" w:fill="auto"/>
                </w:tcPr>
                <w:p w14:paraId="7E43BB7D" w14:textId="77777777" w:rsidR="00D14DC5" w:rsidRPr="00D14DC5" w:rsidRDefault="00D14DC5" w:rsidP="00D14DC5">
                  <w:pPr>
                    <w:rPr>
                      <w:sz w:val="20"/>
                      <w:szCs w:val="20"/>
                    </w:rPr>
                  </w:pPr>
                  <w:r w:rsidRPr="00D14DC5">
                    <w:rPr>
                      <w:sz w:val="20"/>
                      <w:szCs w:val="20"/>
                    </w:rPr>
                    <w:t>Assumptions</w:t>
                  </w:r>
                  <w:r w:rsidR="005C43D2">
                    <w:rPr>
                      <w:sz w:val="20"/>
                      <w:szCs w:val="20"/>
                    </w:rPr>
                    <w:t>/Formula</w:t>
                  </w:r>
                </w:p>
              </w:tc>
            </w:tr>
            <w:tr w:rsidR="00D14DC5" w:rsidRPr="00D14DC5" w14:paraId="3FEC1BBE" w14:textId="77777777" w:rsidTr="005C43D2">
              <w:tc>
                <w:tcPr>
                  <w:tcW w:w="1413" w:type="dxa"/>
                  <w:shd w:val="clear" w:color="auto" w:fill="auto"/>
                </w:tcPr>
                <w:p w14:paraId="5270F463" w14:textId="77777777" w:rsidR="00D14DC5" w:rsidRPr="00D14DC5" w:rsidRDefault="00D14DC5" w:rsidP="00D14DC5">
                  <w:pPr>
                    <w:rPr>
                      <w:sz w:val="20"/>
                      <w:szCs w:val="20"/>
                    </w:rPr>
                  </w:pPr>
                  <w:r w:rsidRPr="00D14DC5">
                    <w:rPr>
                      <w:sz w:val="20"/>
                      <w:szCs w:val="20"/>
                    </w:rPr>
                    <w:t>Direct</w:t>
                  </w:r>
                </w:p>
              </w:tc>
              <w:tc>
                <w:tcPr>
                  <w:tcW w:w="1843" w:type="dxa"/>
                  <w:shd w:val="clear" w:color="auto" w:fill="auto"/>
                </w:tcPr>
                <w:p w14:paraId="525C64A9" w14:textId="77777777" w:rsidR="00D14DC5" w:rsidRPr="00077A08" w:rsidRDefault="00D14DC5" w:rsidP="00D14DC5">
                  <w:pPr>
                    <w:rPr>
                      <w:sz w:val="20"/>
                      <w:szCs w:val="20"/>
                    </w:rPr>
                  </w:pPr>
                  <w:r w:rsidRPr="00077A08">
                    <w:rPr>
                      <w:sz w:val="20"/>
                      <w:szCs w:val="20"/>
                    </w:rPr>
                    <w:t>Component 3: Investment in pilot NAMAs</w:t>
                  </w:r>
                </w:p>
              </w:tc>
              <w:tc>
                <w:tcPr>
                  <w:tcW w:w="1417" w:type="dxa"/>
                  <w:shd w:val="clear" w:color="auto" w:fill="auto"/>
                </w:tcPr>
                <w:p w14:paraId="3D8E9A69" w14:textId="324E7E32" w:rsidR="00FC0E18" w:rsidRPr="00077A08" w:rsidRDefault="00AF22CF" w:rsidP="00D14DC5">
                  <w:pPr>
                    <w:rPr>
                      <w:sz w:val="20"/>
                      <w:szCs w:val="20"/>
                    </w:rPr>
                  </w:pPr>
                  <w:r w:rsidRPr="00AF22CF">
                    <w:rPr>
                      <w:sz w:val="20"/>
                      <w:szCs w:val="20"/>
                      <w:highlight w:val="yellow"/>
                    </w:rPr>
                    <w:t>626</w:t>
                  </w:r>
                  <w:r w:rsidR="001A17CD" w:rsidRPr="00AF22CF">
                    <w:rPr>
                      <w:sz w:val="20"/>
                      <w:szCs w:val="20"/>
                      <w:highlight w:val="yellow"/>
                    </w:rPr>
                    <w:t>,000 tCO2</w:t>
                  </w:r>
                </w:p>
                <w:p w14:paraId="22C68104" w14:textId="77777777" w:rsidR="00FC0E18" w:rsidRPr="00077A08" w:rsidRDefault="00FC0E18" w:rsidP="00D14DC5">
                  <w:pPr>
                    <w:rPr>
                      <w:sz w:val="20"/>
                      <w:szCs w:val="20"/>
                    </w:rPr>
                  </w:pPr>
                </w:p>
                <w:p w14:paraId="34504C3F" w14:textId="77777777" w:rsidR="00FC0E18" w:rsidRPr="00077A08" w:rsidRDefault="00FC0E18" w:rsidP="00D14DC5">
                  <w:pPr>
                    <w:rPr>
                      <w:sz w:val="20"/>
                      <w:szCs w:val="20"/>
                    </w:rPr>
                  </w:pPr>
                </w:p>
              </w:tc>
              <w:tc>
                <w:tcPr>
                  <w:tcW w:w="4536" w:type="dxa"/>
                  <w:shd w:val="clear" w:color="auto" w:fill="auto"/>
                </w:tcPr>
                <w:p w14:paraId="0789E5E8" w14:textId="35E68BAD" w:rsidR="001A17CD" w:rsidRPr="00077A08" w:rsidRDefault="00AF22CF" w:rsidP="002B47C1">
                  <w:pPr>
                    <w:rPr>
                      <w:sz w:val="20"/>
                      <w:szCs w:val="20"/>
                    </w:rPr>
                  </w:pPr>
                  <w:r w:rsidRPr="00AF22CF">
                    <w:rPr>
                      <w:sz w:val="20"/>
                      <w:szCs w:val="20"/>
                      <w:highlight w:val="yellow"/>
                    </w:rPr>
                    <w:t>Additional</w:t>
                  </w:r>
                  <w:r>
                    <w:rPr>
                      <w:sz w:val="20"/>
                      <w:szCs w:val="20"/>
                    </w:rPr>
                    <w:t xml:space="preserve"> i</w:t>
                  </w:r>
                  <w:r w:rsidR="002B47C1" w:rsidRPr="00077A08">
                    <w:rPr>
                      <w:sz w:val="20"/>
                      <w:szCs w:val="20"/>
                    </w:rPr>
                    <w:t xml:space="preserve">nvestment in NAMAs: </w:t>
                  </w:r>
                </w:p>
                <w:p w14:paraId="5045A0AA" w14:textId="6B80FA06" w:rsidR="002B47C1" w:rsidRPr="00077A08" w:rsidRDefault="001A17CD" w:rsidP="002B47C1">
                  <w:pPr>
                    <w:rPr>
                      <w:sz w:val="20"/>
                      <w:szCs w:val="20"/>
                    </w:rPr>
                  </w:pPr>
                  <w:r w:rsidRPr="00077A08">
                    <w:rPr>
                      <w:sz w:val="20"/>
                      <w:szCs w:val="20"/>
                    </w:rPr>
                    <w:t xml:space="preserve">- </w:t>
                  </w:r>
                  <w:r w:rsidR="002B47C1" w:rsidRPr="00077A08">
                    <w:rPr>
                      <w:sz w:val="20"/>
                      <w:szCs w:val="20"/>
                    </w:rPr>
                    <w:t xml:space="preserve">1.3 </w:t>
                  </w:r>
                  <w:proofErr w:type="spellStart"/>
                  <w:r w:rsidRPr="00077A08">
                    <w:rPr>
                      <w:sz w:val="20"/>
                      <w:szCs w:val="20"/>
                    </w:rPr>
                    <w:t>mln</w:t>
                  </w:r>
                  <w:proofErr w:type="spellEnd"/>
                  <w:r w:rsidRPr="00077A08">
                    <w:rPr>
                      <w:sz w:val="20"/>
                      <w:szCs w:val="20"/>
                    </w:rPr>
                    <w:t xml:space="preserve"> </w:t>
                  </w:r>
                  <w:r w:rsidR="002B47C1" w:rsidRPr="00077A08">
                    <w:rPr>
                      <w:sz w:val="20"/>
                      <w:szCs w:val="20"/>
                    </w:rPr>
                    <w:t>$</w:t>
                  </w:r>
                  <w:r w:rsidR="00C26A32" w:rsidRPr="00077A08">
                    <w:rPr>
                      <w:sz w:val="20"/>
                      <w:szCs w:val="20"/>
                    </w:rPr>
                    <w:t xml:space="preserve"> (GEF) + </w:t>
                  </w:r>
                  <w:r w:rsidR="00AF22CF" w:rsidRPr="00AF22CF">
                    <w:rPr>
                      <w:sz w:val="20"/>
                      <w:szCs w:val="20"/>
                      <w:highlight w:val="yellow"/>
                    </w:rPr>
                    <w:t>15</w:t>
                  </w:r>
                  <w:r w:rsidR="00C26A32" w:rsidRPr="00AF22CF">
                    <w:rPr>
                      <w:sz w:val="20"/>
                      <w:szCs w:val="20"/>
                      <w:highlight w:val="yellow"/>
                    </w:rPr>
                    <w:t xml:space="preserve"> </w:t>
                  </w:r>
                  <w:proofErr w:type="spellStart"/>
                  <w:r w:rsidR="00C26A32" w:rsidRPr="00AF22CF">
                    <w:rPr>
                      <w:sz w:val="20"/>
                      <w:szCs w:val="20"/>
                      <w:highlight w:val="yellow"/>
                    </w:rPr>
                    <w:t>mln</w:t>
                  </w:r>
                  <w:proofErr w:type="spellEnd"/>
                  <w:r w:rsidR="00C26A32" w:rsidRPr="00AF22CF">
                    <w:rPr>
                      <w:sz w:val="20"/>
                      <w:szCs w:val="20"/>
                      <w:highlight w:val="yellow"/>
                    </w:rPr>
                    <w:t xml:space="preserve"> US$ (SOCAR) = </w:t>
                  </w:r>
                  <w:r w:rsidR="00AF22CF" w:rsidRPr="00AF22CF">
                    <w:rPr>
                      <w:sz w:val="20"/>
                      <w:szCs w:val="20"/>
                      <w:highlight w:val="yellow"/>
                    </w:rPr>
                    <w:t>16</w:t>
                  </w:r>
                  <w:r w:rsidR="00C26A32" w:rsidRPr="00AF22CF">
                    <w:rPr>
                      <w:sz w:val="20"/>
                      <w:szCs w:val="20"/>
                      <w:highlight w:val="yellow"/>
                    </w:rPr>
                    <w:t xml:space="preserve">.3 </w:t>
                  </w:r>
                  <w:proofErr w:type="spellStart"/>
                  <w:r w:rsidR="00C26A32" w:rsidRPr="00AF22CF">
                    <w:rPr>
                      <w:sz w:val="20"/>
                      <w:szCs w:val="20"/>
                      <w:highlight w:val="yellow"/>
                    </w:rPr>
                    <w:t>mln</w:t>
                  </w:r>
                  <w:proofErr w:type="spellEnd"/>
                  <w:r w:rsidR="00C26A32" w:rsidRPr="00AF22CF">
                    <w:rPr>
                      <w:sz w:val="20"/>
                      <w:szCs w:val="20"/>
                      <w:highlight w:val="yellow"/>
                    </w:rPr>
                    <w:t xml:space="preserve"> US$</w:t>
                  </w:r>
                </w:p>
                <w:p w14:paraId="1A317A1E" w14:textId="77777777" w:rsidR="001A17CD" w:rsidRPr="00077A08" w:rsidRDefault="002B47C1" w:rsidP="00D14DC5">
                  <w:pPr>
                    <w:rPr>
                      <w:sz w:val="20"/>
                      <w:szCs w:val="20"/>
                    </w:rPr>
                  </w:pPr>
                  <w:r w:rsidRPr="00077A08">
                    <w:rPr>
                      <w:sz w:val="20"/>
                      <w:szCs w:val="20"/>
                    </w:rPr>
                    <w:t>Cost-effectiveness threshold:</w:t>
                  </w:r>
                </w:p>
                <w:p w14:paraId="77269B00" w14:textId="77777777" w:rsidR="002B47C1" w:rsidRPr="00077A08" w:rsidRDefault="001A17CD" w:rsidP="00D14DC5">
                  <w:pPr>
                    <w:rPr>
                      <w:sz w:val="20"/>
                      <w:szCs w:val="20"/>
                    </w:rPr>
                  </w:pPr>
                  <w:r w:rsidRPr="00077A08">
                    <w:rPr>
                      <w:sz w:val="20"/>
                      <w:szCs w:val="20"/>
                    </w:rPr>
                    <w:t xml:space="preserve">- </w:t>
                  </w:r>
                  <w:r w:rsidR="002B47C1" w:rsidRPr="00077A08">
                    <w:rPr>
                      <w:sz w:val="20"/>
                      <w:szCs w:val="20"/>
                    </w:rPr>
                    <w:t xml:space="preserve"> 2</w:t>
                  </w:r>
                  <w:r w:rsidR="00FC0E18" w:rsidRPr="00077A08">
                    <w:rPr>
                      <w:sz w:val="20"/>
                      <w:szCs w:val="20"/>
                    </w:rPr>
                    <w:t>5</w:t>
                  </w:r>
                  <w:r w:rsidR="002B47C1" w:rsidRPr="00077A08">
                    <w:rPr>
                      <w:sz w:val="20"/>
                      <w:szCs w:val="20"/>
                    </w:rPr>
                    <w:t xml:space="preserve">$/tCO2 </w:t>
                  </w:r>
                  <w:r w:rsidR="005C43D2" w:rsidRPr="00077A08">
                    <w:rPr>
                      <w:sz w:val="20"/>
                      <w:szCs w:val="20"/>
                    </w:rPr>
                    <w:t xml:space="preserve"> (IPCC definition)</w:t>
                  </w:r>
                </w:p>
                <w:p w14:paraId="1F15417E" w14:textId="77777777" w:rsidR="001A17CD" w:rsidRPr="00077A08" w:rsidRDefault="001A17CD" w:rsidP="00D14DC5">
                  <w:pPr>
                    <w:rPr>
                      <w:sz w:val="20"/>
                      <w:szCs w:val="20"/>
                    </w:rPr>
                  </w:pPr>
                </w:p>
                <w:p w14:paraId="0D7E473C" w14:textId="77777777" w:rsidR="001A17CD" w:rsidRPr="00077A08" w:rsidRDefault="005C43D2" w:rsidP="00D14DC5">
                  <w:pPr>
                    <w:rPr>
                      <w:sz w:val="20"/>
                      <w:szCs w:val="20"/>
                    </w:rPr>
                  </w:pPr>
                  <w:r w:rsidRPr="00077A08">
                    <w:rPr>
                      <w:sz w:val="20"/>
                      <w:szCs w:val="20"/>
                    </w:rPr>
                    <w:t xml:space="preserve">Direct GHG emission reductions: </w:t>
                  </w:r>
                </w:p>
                <w:p w14:paraId="407F6EB6" w14:textId="77777777" w:rsidR="001A17CD" w:rsidRPr="00077A08" w:rsidRDefault="005C43D2" w:rsidP="00D14DC5">
                  <w:pPr>
                    <w:rPr>
                      <w:sz w:val="20"/>
                      <w:szCs w:val="20"/>
                    </w:rPr>
                  </w:pPr>
                  <w:r w:rsidRPr="00077A08">
                    <w:rPr>
                      <w:sz w:val="20"/>
                      <w:szCs w:val="20"/>
                    </w:rPr>
                    <w:t>Investment/cost-effectiveness threshold</w:t>
                  </w:r>
                  <w:r w:rsidR="001A17CD" w:rsidRPr="00077A08">
                    <w:rPr>
                      <w:sz w:val="20"/>
                      <w:szCs w:val="20"/>
                    </w:rPr>
                    <w:t xml:space="preserve"> or</w:t>
                  </w:r>
                </w:p>
                <w:p w14:paraId="73C71282" w14:textId="77777777" w:rsidR="001A17CD" w:rsidRPr="00077A08" w:rsidRDefault="001A17CD" w:rsidP="00D14DC5">
                  <w:pPr>
                    <w:rPr>
                      <w:sz w:val="20"/>
                      <w:szCs w:val="20"/>
                    </w:rPr>
                  </w:pPr>
                </w:p>
                <w:p w14:paraId="371DEFA0" w14:textId="5BEC9207" w:rsidR="005C43D2" w:rsidRPr="00077A08" w:rsidRDefault="00AF22CF" w:rsidP="00D14DC5">
                  <w:pPr>
                    <w:rPr>
                      <w:sz w:val="20"/>
                      <w:szCs w:val="20"/>
                    </w:rPr>
                  </w:pPr>
                  <w:r w:rsidRPr="00AF22CF">
                    <w:rPr>
                      <w:sz w:val="20"/>
                      <w:szCs w:val="20"/>
                      <w:highlight w:val="yellow"/>
                    </w:rPr>
                    <w:t>16</w:t>
                  </w:r>
                  <w:r w:rsidR="005C43D2" w:rsidRPr="00AF22CF">
                    <w:rPr>
                      <w:sz w:val="20"/>
                      <w:szCs w:val="20"/>
                      <w:highlight w:val="yellow"/>
                    </w:rPr>
                    <w:t>,300,000 $</w:t>
                  </w:r>
                  <w:r w:rsidR="001A17CD" w:rsidRPr="00AF22CF">
                    <w:rPr>
                      <w:sz w:val="20"/>
                      <w:szCs w:val="20"/>
                      <w:highlight w:val="yellow"/>
                    </w:rPr>
                    <w:t xml:space="preserve">: </w:t>
                  </w:r>
                  <w:r w:rsidR="005C43D2" w:rsidRPr="00AF22CF">
                    <w:rPr>
                      <w:sz w:val="20"/>
                      <w:szCs w:val="20"/>
                      <w:highlight w:val="yellow"/>
                    </w:rPr>
                    <w:t>2</w:t>
                  </w:r>
                  <w:r w:rsidR="00FC0E18" w:rsidRPr="00AF22CF">
                    <w:rPr>
                      <w:sz w:val="20"/>
                      <w:szCs w:val="20"/>
                      <w:highlight w:val="yellow"/>
                    </w:rPr>
                    <w:t>5</w:t>
                  </w:r>
                  <w:r w:rsidR="005C43D2" w:rsidRPr="00AF22CF">
                    <w:rPr>
                      <w:sz w:val="20"/>
                      <w:szCs w:val="20"/>
                      <w:highlight w:val="yellow"/>
                    </w:rPr>
                    <w:t>$/tCO2=</w:t>
                  </w:r>
                  <w:r w:rsidRPr="00AF22CF">
                    <w:rPr>
                      <w:sz w:val="20"/>
                      <w:szCs w:val="20"/>
                      <w:highlight w:val="yellow"/>
                    </w:rPr>
                    <w:t>626</w:t>
                  </w:r>
                  <w:r w:rsidR="005C43D2" w:rsidRPr="00AF22CF">
                    <w:rPr>
                      <w:sz w:val="20"/>
                      <w:szCs w:val="20"/>
                      <w:highlight w:val="yellow"/>
                    </w:rPr>
                    <w:t>,000</w:t>
                  </w:r>
                  <w:r w:rsidR="001A17CD" w:rsidRPr="00AF22CF">
                    <w:rPr>
                      <w:sz w:val="20"/>
                      <w:szCs w:val="20"/>
                      <w:highlight w:val="yellow"/>
                    </w:rPr>
                    <w:t xml:space="preserve"> </w:t>
                  </w:r>
                  <w:r w:rsidR="005C43D2" w:rsidRPr="00AF22CF">
                    <w:rPr>
                      <w:sz w:val="20"/>
                      <w:szCs w:val="20"/>
                      <w:highlight w:val="yellow"/>
                    </w:rPr>
                    <w:t>tCO2</w:t>
                  </w:r>
                  <w:r w:rsidR="001A17CD" w:rsidRPr="00AF22CF">
                    <w:rPr>
                      <w:sz w:val="20"/>
                      <w:szCs w:val="20"/>
                      <w:highlight w:val="yellow"/>
                    </w:rPr>
                    <w:t xml:space="preserve"> (cumulatively over investment lifecycle)</w:t>
                  </w:r>
                </w:p>
                <w:p w14:paraId="127EA445" w14:textId="77777777" w:rsidR="005C43D2" w:rsidRPr="00077A08" w:rsidRDefault="005C43D2" w:rsidP="00D14DC5">
                  <w:pPr>
                    <w:rPr>
                      <w:sz w:val="20"/>
                      <w:szCs w:val="20"/>
                    </w:rPr>
                  </w:pPr>
                </w:p>
                <w:p w14:paraId="1F70A80F" w14:textId="77777777" w:rsidR="00D14DC5" w:rsidRPr="00077A08" w:rsidRDefault="00D14DC5" w:rsidP="00D14DC5">
                  <w:pPr>
                    <w:rPr>
                      <w:sz w:val="20"/>
                      <w:szCs w:val="20"/>
                    </w:rPr>
                  </w:pPr>
                </w:p>
              </w:tc>
            </w:tr>
            <w:tr w:rsidR="00D14DC5" w:rsidRPr="00D14DC5" w14:paraId="5B8496DE" w14:textId="77777777" w:rsidTr="005C43D2">
              <w:tc>
                <w:tcPr>
                  <w:tcW w:w="1413" w:type="dxa"/>
                  <w:shd w:val="clear" w:color="auto" w:fill="auto"/>
                </w:tcPr>
                <w:p w14:paraId="5FF12F20" w14:textId="77777777" w:rsidR="00D14DC5" w:rsidRPr="00D14DC5" w:rsidRDefault="00D14DC5" w:rsidP="00D14DC5">
                  <w:pPr>
                    <w:rPr>
                      <w:sz w:val="20"/>
                      <w:szCs w:val="20"/>
                    </w:rPr>
                  </w:pPr>
                  <w:r w:rsidRPr="00D14DC5">
                    <w:rPr>
                      <w:sz w:val="20"/>
                      <w:szCs w:val="20"/>
                    </w:rPr>
                    <w:t>Indirect (top-down)</w:t>
                  </w:r>
                </w:p>
              </w:tc>
              <w:tc>
                <w:tcPr>
                  <w:tcW w:w="1843" w:type="dxa"/>
                  <w:shd w:val="clear" w:color="auto" w:fill="auto"/>
                </w:tcPr>
                <w:p w14:paraId="42A9B611" w14:textId="77777777" w:rsidR="00D14DC5" w:rsidRPr="00D14DC5" w:rsidRDefault="00D14DC5" w:rsidP="00D14DC5">
                  <w:pPr>
                    <w:rPr>
                      <w:sz w:val="20"/>
                      <w:szCs w:val="20"/>
                    </w:rPr>
                  </w:pPr>
                  <w:r w:rsidRPr="00D14DC5">
                    <w:rPr>
                      <w:sz w:val="20"/>
                      <w:szCs w:val="20"/>
                    </w:rPr>
                    <w:t xml:space="preserve">Component </w:t>
                  </w:r>
                  <w:r>
                    <w:rPr>
                      <w:sz w:val="20"/>
                      <w:szCs w:val="20"/>
                    </w:rPr>
                    <w:t>3</w:t>
                  </w:r>
                  <w:r w:rsidRPr="00D14DC5">
                    <w:rPr>
                      <w:sz w:val="20"/>
                      <w:szCs w:val="20"/>
                    </w:rPr>
                    <w:t xml:space="preserve">: </w:t>
                  </w:r>
                  <w:r>
                    <w:rPr>
                      <w:sz w:val="20"/>
                      <w:szCs w:val="20"/>
                    </w:rPr>
                    <w:t>Policy instruments for NAMA implementation</w:t>
                  </w:r>
                </w:p>
              </w:tc>
              <w:tc>
                <w:tcPr>
                  <w:tcW w:w="1417" w:type="dxa"/>
                  <w:shd w:val="clear" w:color="auto" w:fill="auto"/>
                </w:tcPr>
                <w:p w14:paraId="631C2E9D" w14:textId="64DE01CA" w:rsidR="00D14DC5" w:rsidRPr="00DD5163" w:rsidRDefault="008721D5" w:rsidP="008721D5">
                  <w:pPr>
                    <w:rPr>
                      <w:sz w:val="20"/>
                      <w:szCs w:val="20"/>
                      <w:highlight w:val="yellow"/>
                    </w:rPr>
                  </w:pPr>
                  <w:r w:rsidRPr="00DD5163">
                    <w:rPr>
                      <w:sz w:val="20"/>
                      <w:szCs w:val="20"/>
                      <w:highlight w:val="yellow"/>
                    </w:rPr>
                    <w:t>1</w:t>
                  </w:r>
                  <w:r w:rsidR="00EE64B2" w:rsidRPr="00DD5163">
                    <w:rPr>
                      <w:sz w:val="20"/>
                      <w:szCs w:val="20"/>
                      <w:highlight w:val="yellow"/>
                    </w:rPr>
                    <w:t>,</w:t>
                  </w:r>
                  <w:r w:rsidRPr="00DD5163">
                    <w:rPr>
                      <w:sz w:val="20"/>
                      <w:szCs w:val="20"/>
                      <w:highlight w:val="yellow"/>
                    </w:rPr>
                    <w:t>5</w:t>
                  </w:r>
                  <w:r w:rsidR="00845769">
                    <w:rPr>
                      <w:sz w:val="20"/>
                      <w:szCs w:val="20"/>
                      <w:highlight w:val="yellow"/>
                    </w:rPr>
                    <w:t>18</w:t>
                  </w:r>
                  <w:r w:rsidR="00EE64B2" w:rsidRPr="00DD5163">
                    <w:rPr>
                      <w:sz w:val="20"/>
                      <w:szCs w:val="20"/>
                      <w:highlight w:val="yellow"/>
                    </w:rPr>
                    <w:t>,000</w:t>
                  </w:r>
                  <w:r w:rsidRPr="00DD5163">
                    <w:rPr>
                      <w:sz w:val="20"/>
                      <w:szCs w:val="20"/>
                      <w:highlight w:val="yellow"/>
                    </w:rPr>
                    <w:t xml:space="preserve"> tCO2/year or</w:t>
                  </w:r>
                </w:p>
                <w:p w14:paraId="1690B71C" w14:textId="77777777" w:rsidR="008721D5" w:rsidRPr="00DD5163" w:rsidRDefault="008721D5" w:rsidP="008721D5">
                  <w:pPr>
                    <w:rPr>
                      <w:sz w:val="20"/>
                      <w:szCs w:val="20"/>
                      <w:highlight w:val="yellow"/>
                    </w:rPr>
                  </w:pPr>
                </w:p>
                <w:p w14:paraId="48CD619F" w14:textId="4EF3D132" w:rsidR="008721D5" w:rsidRPr="00DD5163" w:rsidRDefault="008721D5" w:rsidP="008721D5">
                  <w:pPr>
                    <w:rPr>
                      <w:sz w:val="20"/>
                      <w:szCs w:val="20"/>
                      <w:highlight w:val="yellow"/>
                    </w:rPr>
                  </w:pPr>
                  <w:r w:rsidRPr="00DD5163">
                    <w:rPr>
                      <w:sz w:val="20"/>
                      <w:szCs w:val="20"/>
                      <w:highlight w:val="yellow"/>
                    </w:rPr>
                    <w:t>15,</w:t>
                  </w:r>
                  <w:r w:rsidR="00845769">
                    <w:rPr>
                      <w:sz w:val="20"/>
                      <w:szCs w:val="20"/>
                      <w:highlight w:val="yellow"/>
                    </w:rPr>
                    <w:t>18</w:t>
                  </w:r>
                  <w:r w:rsidRPr="00DD5163">
                    <w:rPr>
                      <w:sz w:val="20"/>
                      <w:szCs w:val="20"/>
                      <w:highlight w:val="yellow"/>
                    </w:rPr>
                    <w:t>0,000 tCO2 over</w:t>
                  </w:r>
                  <w:r w:rsidR="00DD5163" w:rsidRPr="00DD5163">
                    <w:rPr>
                      <w:sz w:val="20"/>
                      <w:szCs w:val="20"/>
                      <w:highlight w:val="yellow"/>
                    </w:rPr>
                    <w:t xml:space="preserve"> project influence period</w:t>
                  </w:r>
                </w:p>
                <w:p w14:paraId="51F17C0F" w14:textId="77777777" w:rsidR="008721D5" w:rsidRPr="00DD5163" w:rsidRDefault="008721D5" w:rsidP="008721D5">
                  <w:pPr>
                    <w:rPr>
                      <w:sz w:val="20"/>
                      <w:szCs w:val="20"/>
                      <w:highlight w:val="yellow"/>
                    </w:rPr>
                  </w:pPr>
                </w:p>
                <w:p w14:paraId="03BA830B" w14:textId="2897D03B" w:rsidR="008721D5" w:rsidRPr="00DD5163" w:rsidRDefault="008721D5" w:rsidP="008721D5">
                  <w:pPr>
                    <w:rPr>
                      <w:sz w:val="20"/>
                      <w:szCs w:val="20"/>
                      <w:highlight w:val="yellow"/>
                    </w:rPr>
                  </w:pPr>
                </w:p>
              </w:tc>
              <w:tc>
                <w:tcPr>
                  <w:tcW w:w="4536" w:type="dxa"/>
                  <w:shd w:val="clear" w:color="auto" w:fill="auto"/>
                </w:tcPr>
                <w:p w14:paraId="254200CF" w14:textId="77777777" w:rsidR="002B47C1" w:rsidRPr="00D14DC5" w:rsidRDefault="002B47C1" w:rsidP="00EE64B2">
                  <w:pPr>
                    <w:rPr>
                      <w:sz w:val="20"/>
                      <w:szCs w:val="20"/>
                    </w:rPr>
                  </w:pPr>
                  <w:r>
                    <w:rPr>
                      <w:sz w:val="20"/>
                      <w:szCs w:val="20"/>
                    </w:rPr>
                    <w:t>National e</w:t>
                  </w:r>
                  <w:r w:rsidRPr="00D14DC5">
                    <w:rPr>
                      <w:sz w:val="20"/>
                      <w:szCs w:val="20"/>
                    </w:rPr>
                    <w:t xml:space="preserve">mission reduction target: </w:t>
                  </w:r>
                  <w:r>
                    <w:rPr>
                      <w:sz w:val="20"/>
                      <w:szCs w:val="20"/>
                    </w:rPr>
                    <w:t>3</w:t>
                  </w:r>
                  <w:r w:rsidRPr="00D14DC5">
                    <w:rPr>
                      <w:sz w:val="20"/>
                      <w:szCs w:val="20"/>
                    </w:rPr>
                    <w:t>0%</w:t>
                  </w:r>
                  <w:r>
                    <w:rPr>
                      <w:sz w:val="20"/>
                      <w:szCs w:val="20"/>
                    </w:rPr>
                    <w:t xml:space="preserve"> </w:t>
                  </w:r>
                </w:p>
                <w:p w14:paraId="7025C76F" w14:textId="50107E43" w:rsidR="00D14DC5" w:rsidRDefault="002B47C1" w:rsidP="00EE64B2">
                  <w:pPr>
                    <w:rPr>
                      <w:sz w:val="20"/>
                      <w:szCs w:val="20"/>
                    </w:rPr>
                  </w:pPr>
                  <w:r>
                    <w:rPr>
                      <w:sz w:val="20"/>
                      <w:szCs w:val="20"/>
                    </w:rPr>
                    <w:t>Energy sector-emissions</w:t>
                  </w:r>
                  <w:r w:rsidR="00EE64B2">
                    <w:rPr>
                      <w:sz w:val="20"/>
                      <w:szCs w:val="20"/>
                    </w:rPr>
                    <w:t xml:space="preserve"> from fuel combustion</w:t>
                  </w:r>
                  <w:r>
                    <w:rPr>
                      <w:sz w:val="20"/>
                      <w:szCs w:val="20"/>
                    </w:rPr>
                    <w:t xml:space="preserve">: </w:t>
                  </w:r>
                  <w:r w:rsidR="00EE64B2">
                    <w:rPr>
                      <w:sz w:val="20"/>
                      <w:szCs w:val="20"/>
                    </w:rPr>
                    <w:t>50</w:t>
                  </w:r>
                  <w:r>
                    <w:rPr>
                      <w:sz w:val="20"/>
                      <w:szCs w:val="20"/>
                    </w:rPr>
                    <w:t xml:space="preserve">% of the total or </w:t>
                  </w:r>
                  <w:r w:rsidR="00845769">
                    <w:rPr>
                      <w:sz w:val="20"/>
                      <w:szCs w:val="20"/>
                      <w:highlight w:val="yellow"/>
                    </w:rPr>
                    <w:t>25</w:t>
                  </w:r>
                  <w:r w:rsidR="00845769" w:rsidRPr="00845769">
                    <w:rPr>
                      <w:sz w:val="20"/>
                      <w:szCs w:val="20"/>
                      <w:highlight w:val="yellow"/>
                    </w:rPr>
                    <w:t>.3</w:t>
                  </w:r>
                  <w:r>
                    <w:rPr>
                      <w:sz w:val="20"/>
                      <w:szCs w:val="20"/>
                    </w:rPr>
                    <w:t xml:space="preserve"> MtCO2 in BAU</w:t>
                  </w:r>
                  <w:r w:rsidR="008721D5">
                    <w:rPr>
                      <w:sz w:val="20"/>
                      <w:szCs w:val="20"/>
                    </w:rPr>
                    <w:t xml:space="preserve"> </w:t>
                  </w:r>
                  <w:r w:rsidR="008721D5" w:rsidRPr="008721D5">
                    <w:rPr>
                      <w:sz w:val="20"/>
                      <w:szCs w:val="20"/>
                      <w:highlight w:val="yellow"/>
                    </w:rPr>
                    <w:t>(2005 – latest available year from 2NC</w:t>
                  </w:r>
                  <w:r w:rsidR="00845769">
                    <w:rPr>
                      <w:sz w:val="20"/>
                      <w:szCs w:val="20"/>
                      <w:highlight w:val="yellow"/>
                    </w:rPr>
                    <w:t xml:space="preserve">; </w:t>
                  </w:r>
                  <w:r w:rsidR="008721D5" w:rsidRPr="008721D5">
                    <w:rPr>
                      <w:sz w:val="20"/>
                      <w:szCs w:val="20"/>
                      <w:highlight w:val="yellow"/>
                    </w:rPr>
                    <w:t xml:space="preserve"> </w:t>
                  </w:r>
                  <w:r w:rsidR="008721D5">
                    <w:rPr>
                      <w:sz w:val="20"/>
                      <w:szCs w:val="20"/>
                      <w:highlight w:val="yellow"/>
                    </w:rPr>
                    <w:t xml:space="preserve">2010 baseline </w:t>
                  </w:r>
                  <w:r w:rsidR="008721D5" w:rsidRPr="008721D5">
                    <w:rPr>
                      <w:sz w:val="20"/>
                      <w:szCs w:val="20"/>
                      <w:highlight w:val="yellow"/>
                    </w:rPr>
                    <w:t>to be estimated</w:t>
                  </w:r>
                  <w:r w:rsidR="008721D5">
                    <w:rPr>
                      <w:sz w:val="20"/>
                      <w:szCs w:val="20"/>
                      <w:highlight w:val="yellow"/>
                    </w:rPr>
                    <w:t xml:space="preserve"> by TNC</w:t>
                  </w:r>
                  <w:r w:rsidR="008721D5" w:rsidRPr="008721D5">
                    <w:rPr>
                      <w:sz w:val="20"/>
                      <w:szCs w:val="20"/>
                      <w:highlight w:val="yellow"/>
                    </w:rPr>
                    <w:t>)</w:t>
                  </w:r>
                </w:p>
                <w:p w14:paraId="7460DD0A" w14:textId="42C0EDBF" w:rsidR="00EE64B2" w:rsidRPr="00DD5163" w:rsidRDefault="00EE64B2" w:rsidP="00EE64B2">
                  <w:pPr>
                    <w:rPr>
                      <w:sz w:val="20"/>
                      <w:szCs w:val="20"/>
                      <w:highlight w:val="yellow"/>
                    </w:rPr>
                  </w:pPr>
                  <w:r w:rsidRPr="00DD5163">
                    <w:rPr>
                      <w:sz w:val="20"/>
                      <w:szCs w:val="20"/>
                      <w:highlight w:val="yellow"/>
                    </w:rPr>
                    <w:t xml:space="preserve">Energy sector emission reduction target: </w:t>
                  </w:r>
                  <w:r w:rsidR="008721D5" w:rsidRPr="00DD5163">
                    <w:rPr>
                      <w:sz w:val="20"/>
                      <w:szCs w:val="20"/>
                      <w:highlight w:val="yellow"/>
                    </w:rPr>
                    <w:t>7.5</w:t>
                  </w:r>
                  <w:r w:rsidR="00845769">
                    <w:rPr>
                      <w:sz w:val="20"/>
                      <w:szCs w:val="20"/>
                      <w:highlight w:val="yellow"/>
                    </w:rPr>
                    <w:t xml:space="preserve">9 </w:t>
                  </w:r>
                  <w:r w:rsidRPr="00DD5163">
                    <w:rPr>
                      <w:sz w:val="20"/>
                      <w:szCs w:val="20"/>
                      <w:highlight w:val="yellow"/>
                    </w:rPr>
                    <w:t>MtCO2</w:t>
                  </w:r>
                  <w:r w:rsidR="008721D5" w:rsidRPr="00DD5163">
                    <w:rPr>
                      <w:sz w:val="20"/>
                      <w:szCs w:val="20"/>
                      <w:highlight w:val="yellow"/>
                    </w:rPr>
                    <w:t>/year</w:t>
                  </w:r>
                </w:p>
                <w:p w14:paraId="38312F7B" w14:textId="77777777" w:rsidR="00EE64B2" w:rsidRPr="00DD5163" w:rsidRDefault="00EE64B2" w:rsidP="00EE64B2">
                  <w:pPr>
                    <w:rPr>
                      <w:sz w:val="20"/>
                      <w:szCs w:val="20"/>
                      <w:highlight w:val="yellow"/>
                    </w:rPr>
                  </w:pPr>
                  <w:r w:rsidRPr="00DD5163">
                    <w:rPr>
                      <w:sz w:val="20"/>
                      <w:szCs w:val="20"/>
                      <w:highlight w:val="yellow"/>
                    </w:rPr>
                    <w:t>GEF Causality Factor: 0.2</w:t>
                  </w:r>
                </w:p>
                <w:p w14:paraId="430CC23E" w14:textId="51F747F7" w:rsidR="008721D5" w:rsidRPr="00D14DC5" w:rsidRDefault="008721D5" w:rsidP="00EE64B2">
                  <w:pPr>
                    <w:rPr>
                      <w:sz w:val="20"/>
                      <w:szCs w:val="20"/>
                    </w:rPr>
                  </w:pPr>
                  <w:r w:rsidRPr="00DD5163">
                    <w:rPr>
                      <w:sz w:val="20"/>
                      <w:szCs w:val="20"/>
                      <w:highlight w:val="yellow"/>
                    </w:rPr>
                    <w:t>GEF Influence period: 10 years</w:t>
                  </w:r>
                </w:p>
              </w:tc>
            </w:tr>
            <w:tr w:rsidR="00D14DC5" w:rsidRPr="00D14DC5" w14:paraId="73B2BA75" w14:textId="77777777" w:rsidTr="005C43D2">
              <w:tc>
                <w:tcPr>
                  <w:tcW w:w="1413" w:type="dxa"/>
                  <w:shd w:val="clear" w:color="auto" w:fill="auto"/>
                </w:tcPr>
                <w:p w14:paraId="089CB465" w14:textId="4B352C4E" w:rsidR="00D14DC5" w:rsidRPr="00077A08" w:rsidRDefault="00D14DC5" w:rsidP="00D14DC5">
                  <w:pPr>
                    <w:rPr>
                      <w:sz w:val="20"/>
                      <w:szCs w:val="20"/>
                    </w:rPr>
                  </w:pPr>
                  <w:r w:rsidRPr="00077A08">
                    <w:rPr>
                      <w:sz w:val="20"/>
                      <w:szCs w:val="20"/>
                    </w:rPr>
                    <w:t>TOTAL</w:t>
                  </w:r>
                </w:p>
              </w:tc>
              <w:tc>
                <w:tcPr>
                  <w:tcW w:w="1843" w:type="dxa"/>
                  <w:shd w:val="clear" w:color="auto" w:fill="auto"/>
                </w:tcPr>
                <w:p w14:paraId="7EC12FD3" w14:textId="77777777" w:rsidR="00D14DC5" w:rsidRPr="00077A08" w:rsidRDefault="00D14DC5" w:rsidP="00D14DC5">
                  <w:pPr>
                    <w:rPr>
                      <w:sz w:val="20"/>
                      <w:szCs w:val="20"/>
                    </w:rPr>
                  </w:pPr>
                </w:p>
              </w:tc>
              <w:tc>
                <w:tcPr>
                  <w:tcW w:w="1417" w:type="dxa"/>
                  <w:shd w:val="clear" w:color="auto" w:fill="auto"/>
                </w:tcPr>
                <w:p w14:paraId="5454A724" w14:textId="3E02A7B7" w:rsidR="00D14DC5" w:rsidRPr="00DD5163" w:rsidRDefault="00DD5163" w:rsidP="00845769">
                  <w:pPr>
                    <w:rPr>
                      <w:sz w:val="20"/>
                      <w:szCs w:val="20"/>
                      <w:highlight w:val="yellow"/>
                    </w:rPr>
                  </w:pPr>
                  <w:r w:rsidRPr="00DD5163">
                    <w:rPr>
                      <w:sz w:val="20"/>
                      <w:szCs w:val="20"/>
                      <w:highlight w:val="yellow"/>
                    </w:rPr>
                    <w:t>15.</w:t>
                  </w:r>
                  <w:r w:rsidR="00845769">
                    <w:rPr>
                      <w:sz w:val="20"/>
                      <w:szCs w:val="20"/>
                      <w:highlight w:val="yellow"/>
                    </w:rPr>
                    <w:t>8</w:t>
                  </w:r>
                  <w:r w:rsidRPr="00DD5163">
                    <w:rPr>
                      <w:sz w:val="20"/>
                      <w:szCs w:val="20"/>
                      <w:highlight w:val="yellow"/>
                    </w:rPr>
                    <w:t xml:space="preserve"> </w:t>
                  </w:r>
                  <w:proofErr w:type="spellStart"/>
                  <w:r w:rsidRPr="00DD5163">
                    <w:rPr>
                      <w:sz w:val="20"/>
                      <w:szCs w:val="20"/>
                      <w:highlight w:val="yellow"/>
                    </w:rPr>
                    <w:t>mln</w:t>
                  </w:r>
                  <w:proofErr w:type="spellEnd"/>
                  <w:r w:rsidRPr="00DD5163">
                    <w:rPr>
                      <w:sz w:val="20"/>
                      <w:szCs w:val="20"/>
                      <w:highlight w:val="yellow"/>
                    </w:rPr>
                    <w:t xml:space="preserve"> tCO2</w:t>
                  </w:r>
                </w:p>
              </w:tc>
              <w:tc>
                <w:tcPr>
                  <w:tcW w:w="4536" w:type="dxa"/>
                  <w:shd w:val="clear" w:color="auto" w:fill="auto"/>
                </w:tcPr>
                <w:p w14:paraId="4E9CE2B9" w14:textId="77777777" w:rsidR="00D14DC5" w:rsidRPr="00D14DC5" w:rsidRDefault="00D14DC5" w:rsidP="00D14DC5">
                  <w:pPr>
                    <w:rPr>
                      <w:sz w:val="20"/>
                      <w:szCs w:val="20"/>
                    </w:rPr>
                  </w:pPr>
                </w:p>
              </w:tc>
            </w:tr>
          </w:tbl>
          <w:p w14:paraId="2AA7FFE2" w14:textId="77777777" w:rsidR="003F6882" w:rsidRDefault="003F6882" w:rsidP="00A324D9">
            <w:pPr>
              <w:spacing w:after="80"/>
              <w:outlineLvl w:val="0"/>
            </w:pPr>
          </w:p>
          <w:p w14:paraId="0A1051CE" w14:textId="77777777" w:rsidR="00AC166E" w:rsidRPr="003F6882" w:rsidRDefault="00AC166E" w:rsidP="00A324D9">
            <w:pPr>
              <w:spacing w:after="80"/>
              <w:outlineLvl w:val="0"/>
              <w:rPr>
                <w:u w:val="single"/>
              </w:rPr>
            </w:pPr>
            <w:r w:rsidRPr="003F6882">
              <w:rPr>
                <w:sz w:val="22"/>
                <w:u w:val="single"/>
              </w:rPr>
              <w:t xml:space="preserve">6) </w:t>
            </w:r>
            <w:r w:rsidR="003F6882" w:rsidRPr="003F6882">
              <w:rPr>
                <w:sz w:val="22"/>
                <w:u w:val="single"/>
              </w:rPr>
              <w:t>I</w:t>
            </w:r>
            <w:r w:rsidRPr="003F6882">
              <w:rPr>
                <w:sz w:val="22"/>
                <w:u w:val="single"/>
              </w:rPr>
              <w:t>nnovativeness, sustainability and potential for scaling up</w:t>
            </w:r>
          </w:p>
          <w:p w14:paraId="2F1EF100" w14:textId="77777777" w:rsidR="00AC166E" w:rsidRDefault="003F6882" w:rsidP="003F6882">
            <w:pPr>
              <w:spacing w:after="80"/>
              <w:outlineLvl w:val="0"/>
              <w:rPr>
                <w:noProof/>
                <w:sz w:val="22"/>
                <w:szCs w:val="22"/>
              </w:rPr>
            </w:pPr>
            <w:r>
              <w:rPr>
                <w:noProof/>
                <w:sz w:val="22"/>
                <w:szCs w:val="22"/>
              </w:rPr>
              <w:t>The project involves</w:t>
            </w:r>
            <w:r w:rsidR="00AC166E" w:rsidRPr="00A324D9">
              <w:rPr>
                <w:noProof/>
                <w:sz w:val="22"/>
                <w:szCs w:val="22"/>
              </w:rPr>
              <w:t xml:space="preserve"> application of highly innovative mechanisms in the Azerbaijani </w:t>
            </w:r>
            <w:r>
              <w:rPr>
                <w:noProof/>
                <w:sz w:val="22"/>
                <w:szCs w:val="22"/>
              </w:rPr>
              <w:t xml:space="preserve">and global </w:t>
            </w:r>
            <w:r w:rsidR="00AC166E" w:rsidRPr="00A324D9">
              <w:rPr>
                <w:noProof/>
                <w:sz w:val="22"/>
                <w:szCs w:val="22"/>
              </w:rPr>
              <w:t>context, such as</w:t>
            </w:r>
            <w:r w:rsidR="004F4EAD">
              <w:rPr>
                <w:noProof/>
                <w:sz w:val="22"/>
                <w:szCs w:val="22"/>
              </w:rPr>
              <w:t>, for example,</w:t>
            </w:r>
            <w:r w:rsidR="00AC166E" w:rsidRPr="00A324D9">
              <w:rPr>
                <w:noProof/>
                <w:sz w:val="22"/>
                <w:szCs w:val="22"/>
              </w:rPr>
              <w:t xml:space="preserve"> the </w:t>
            </w:r>
            <w:r>
              <w:rPr>
                <w:noProof/>
                <w:sz w:val="22"/>
                <w:szCs w:val="22"/>
              </w:rPr>
              <w:t>sectoral carbon market mechanisms and domestic gas offset scheme</w:t>
            </w:r>
            <w:r w:rsidR="00AC166E" w:rsidRPr="00A324D9">
              <w:rPr>
                <w:noProof/>
                <w:sz w:val="22"/>
                <w:szCs w:val="22"/>
              </w:rPr>
              <w:t xml:space="preserve">. </w:t>
            </w:r>
            <w:r>
              <w:rPr>
                <w:noProof/>
                <w:sz w:val="22"/>
                <w:szCs w:val="22"/>
              </w:rPr>
              <w:t xml:space="preserve">It is also for the first time that </w:t>
            </w:r>
            <w:r w:rsidR="00C659CA">
              <w:rPr>
                <w:noProof/>
                <w:sz w:val="22"/>
                <w:szCs w:val="22"/>
              </w:rPr>
              <w:t>corporate</w:t>
            </w:r>
            <w:r>
              <w:rPr>
                <w:noProof/>
                <w:sz w:val="22"/>
                <w:szCs w:val="22"/>
              </w:rPr>
              <w:t xml:space="preserve"> sector, SOCAR, will be directly involved in design and implementation of NAMAs</w:t>
            </w:r>
            <w:r w:rsidR="00D14DC5">
              <w:rPr>
                <w:noProof/>
                <w:sz w:val="22"/>
                <w:szCs w:val="22"/>
              </w:rPr>
              <w:t>.</w:t>
            </w:r>
          </w:p>
          <w:p w14:paraId="51106A6F" w14:textId="77777777" w:rsidR="00D14DC5" w:rsidRDefault="00D14DC5" w:rsidP="00D14DC5">
            <w:pPr>
              <w:spacing w:after="80"/>
              <w:outlineLvl w:val="0"/>
              <w:rPr>
                <w:noProof/>
                <w:sz w:val="22"/>
                <w:szCs w:val="22"/>
              </w:rPr>
            </w:pPr>
            <w:r>
              <w:rPr>
                <w:noProof/>
                <w:sz w:val="22"/>
                <w:szCs w:val="22"/>
              </w:rPr>
              <w:t>Sustainability of the project will be ensured by putting in place appropriate</w:t>
            </w:r>
            <w:r w:rsidR="004F4EAD">
              <w:rPr>
                <w:noProof/>
                <w:sz w:val="22"/>
                <w:szCs w:val="22"/>
              </w:rPr>
              <w:t xml:space="preserve"> </w:t>
            </w:r>
            <w:r>
              <w:rPr>
                <w:noProof/>
                <w:sz w:val="22"/>
                <w:szCs w:val="22"/>
              </w:rPr>
              <w:t xml:space="preserve">policy and financial de-risking instruments and embedding the concept of NAMAs in relevant national and corporate programs and strategies. </w:t>
            </w:r>
          </w:p>
          <w:p w14:paraId="7DD01191" w14:textId="77777777" w:rsidR="00D14DC5" w:rsidRPr="003E7EE1" w:rsidRDefault="004F4EAD" w:rsidP="004F4EAD">
            <w:pPr>
              <w:spacing w:after="80"/>
              <w:outlineLvl w:val="0"/>
              <w:rPr>
                <w:noProof/>
                <w:sz w:val="22"/>
                <w:szCs w:val="22"/>
              </w:rPr>
            </w:pPr>
            <w:r>
              <w:rPr>
                <w:noProof/>
                <w:sz w:val="22"/>
                <w:szCs w:val="22"/>
              </w:rPr>
              <w:t>It is the project ambition to use a scaled-up approach for emission reductions in main oil&amp;gas end use sectors by piloting implementation of prioritized NAMAs and adoption of sectoral targets.</w:t>
            </w:r>
          </w:p>
        </w:tc>
      </w:tr>
    </w:tbl>
    <w:p w14:paraId="315B3F9C" w14:textId="77777777" w:rsidR="00D14DC5" w:rsidRDefault="00D14DC5" w:rsidP="00870816">
      <w:pPr>
        <w:spacing w:after="80"/>
        <w:outlineLvl w:val="0"/>
        <w:rPr>
          <w:sz w:val="22"/>
          <w:szCs w:val="22"/>
        </w:rPr>
      </w:pPr>
    </w:p>
    <w:p w14:paraId="14A406D0" w14:textId="77777777" w:rsidR="00870816" w:rsidRDefault="00870816" w:rsidP="00870816">
      <w:pPr>
        <w:spacing w:after="80"/>
        <w:outlineLvl w:val="0"/>
        <w:rPr>
          <w:sz w:val="22"/>
          <w:szCs w:val="22"/>
        </w:rPr>
      </w:pPr>
      <w:r>
        <w:rPr>
          <w:sz w:val="22"/>
          <w:szCs w:val="22"/>
        </w:rPr>
        <w:t>A</w:t>
      </w:r>
      <w:r w:rsidRPr="008C5053">
        <w:rPr>
          <w:sz w:val="22"/>
          <w:szCs w:val="22"/>
        </w:rPr>
        <w:t>.</w:t>
      </w:r>
      <w:r>
        <w:rPr>
          <w:sz w:val="22"/>
          <w:szCs w:val="22"/>
        </w:rPr>
        <w:t>2</w:t>
      </w:r>
      <w:r w:rsidRPr="008C5053">
        <w:rPr>
          <w:sz w:val="22"/>
          <w:szCs w:val="22"/>
        </w:rPr>
        <w:t xml:space="preserve">. </w:t>
      </w:r>
      <w:r w:rsidR="008857BF">
        <w:rPr>
          <w:sz w:val="22"/>
          <w:szCs w:val="22"/>
        </w:rPr>
        <w:t xml:space="preserve">Stakeholders. </w:t>
      </w:r>
      <w:r w:rsidRPr="008C5053">
        <w:rPr>
          <w:sz w:val="22"/>
          <w:szCs w:val="22"/>
        </w:rPr>
        <w:t xml:space="preserve">Identify key stakeholders </w:t>
      </w:r>
      <w:r w:rsidR="00F91DD9">
        <w:rPr>
          <w:sz w:val="22"/>
          <w:szCs w:val="22"/>
        </w:rPr>
        <w:t xml:space="preserve">(including civil society organizations, </w:t>
      </w:r>
      <w:r w:rsidR="009F2052">
        <w:rPr>
          <w:sz w:val="22"/>
          <w:szCs w:val="22"/>
        </w:rPr>
        <w:t xml:space="preserve">indigenous people, </w:t>
      </w:r>
      <w:r w:rsidR="00F91DD9">
        <w:rPr>
          <w:sz w:val="22"/>
          <w:szCs w:val="22"/>
        </w:rPr>
        <w:t xml:space="preserve">gender groups, and others as relevant) </w:t>
      </w:r>
      <w:r>
        <w:rPr>
          <w:sz w:val="22"/>
          <w:szCs w:val="22"/>
        </w:rPr>
        <w:t xml:space="preserve">and describe how they </w:t>
      </w:r>
      <w:r w:rsidR="0017027C">
        <w:rPr>
          <w:sz w:val="22"/>
          <w:szCs w:val="22"/>
        </w:rPr>
        <w:t xml:space="preserve">will </w:t>
      </w:r>
      <w:r w:rsidR="00F91DD9">
        <w:rPr>
          <w:sz w:val="22"/>
          <w:szCs w:val="22"/>
        </w:rPr>
        <w:t xml:space="preserve">be </w:t>
      </w:r>
      <w:r>
        <w:rPr>
          <w:sz w:val="22"/>
          <w:szCs w:val="22"/>
        </w:rPr>
        <w:t>engage</w:t>
      </w:r>
      <w:r w:rsidR="00F91DD9">
        <w:rPr>
          <w:sz w:val="22"/>
          <w:szCs w:val="22"/>
        </w:rPr>
        <w:t>d</w:t>
      </w:r>
      <w:r>
        <w:rPr>
          <w:sz w:val="22"/>
          <w:szCs w:val="22"/>
        </w:rPr>
        <w:t xml:space="preserve"> in </w:t>
      </w:r>
      <w:r w:rsidRPr="008C5053">
        <w:rPr>
          <w:sz w:val="22"/>
          <w:szCs w:val="22"/>
        </w:rPr>
        <w:t xml:space="preserve">project </w:t>
      </w:r>
      <w:r w:rsidR="00F91DD9">
        <w:rPr>
          <w:sz w:val="22"/>
          <w:szCs w:val="22"/>
        </w:rPr>
        <w:t>preparation</w:t>
      </w:r>
      <w:r>
        <w:rPr>
          <w:sz w:val="22"/>
          <w:szCs w:val="22"/>
        </w:rPr>
        <w:t>:</w:t>
      </w:r>
    </w:p>
    <w:p w14:paraId="73A60372" w14:textId="60C3D6F5" w:rsidR="00A324D9" w:rsidRPr="00A324D9" w:rsidRDefault="00A324D9" w:rsidP="00A324D9">
      <w:pPr>
        <w:spacing w:after="80"/>
        <w:outlineLvl w:val="0"/>
        <w:rPr>
          <w:noProof/>
          <w:sz w:val="22"/>
          <w:szCs w:val="22"/>
        </w:rPr>
      </w:pPr>
      <w:r w:rsidRPr="00A324D9">
        <w:rPr>
          <w:noProof/>
          <w:sz w:val="22"/>
          <w:szCs w:val="22"/>
        </w:rPr>
        <w:t xml:space="preserve">Ministry of Ecology and Natural Resources </w:t>
      </w:r>
      <w:r w:rsidR="004F4EAD">
        <w:rPr>
          <w:noProof/>
          <w:sz w:val="22"/>
          <w:szCs w:val="22"/>
        </w:rPr>
        <w:t xml:space="preserve">(MENR) </w:t>
      </w:r>
      <w:r w:rsidRPr="00A324D9">
        <w:rPr>
          <w:noProof/>
          <w:sz w:val="22"/>
          <w:szCs w:val="22"/>
        </w:rPr>
        <w:t>– key governing body in charge of climate change, emission accounting and regulation on nature resources use</w:t>
      </w:r>
      <w:r w:rsidR="008447B4">
        <w:rPr>
          <w:noProof/>
          <w:sz w:val="22"/>
          <w:szCs w:val="22"/>
        </w:rPr>
        <w:t>, it serves as DNA for CDM and NAMAs</w:t>
      </w:r>
      <w:r w:rsidR="004F4EAD">
        <w:rPr>
          <w:noProof/>
          <w:sz w:val="22"/>
          <w:szCs w:val="22"/>
        </w:rPr>
        <w:t>. MENR will be the main project executing partner</w:t>
      </w:r>
      <w:r w:rsidR="0082251B">
        <w:rPr>
          <w:noProof/>
          <w:sz w:val="22"/>
          <w:szCs w:val="22"/>
        </w:rPr>
        <w:t>; it</w:t>
      </w:r>
      <w:r w:rsidR="004F4EAD">
        <w:rPr>
          <w:noProof/>
          <w:sz w:val="22"/>
          <w:szCs w:val="22"/>
        </w:rPr>
        <w:t xml:space="preserve"> will take the lead in implementation of Componentns 1,2 and 4</w:t>
      </w:r>
      <w:r w:rsidR="0082251B">
        <w:rPr>
          <w:noProof/>
          <w:sz w:val="22"/>
          <w:szCs w:val="22"/>
        </w:rPr>
        <w:t xml:space="preserve"> and </w:t>
      </w:r>
      <w:r w:rsidR="0082251B" w:rsidRPr="00BA5853">
        <w:rPr>
          <w:noProof/>
          <w:sz w:val="22"/>
          <w:szCs w:val="22"/>
          <w:highlight w:val="yellow"/>
        </w:rPr>
        <w:t xml:space="preserve">ensure coordination with the </w:t>
      </w:r>
      <w:r w:rsidR="00BA5853" w:rsidRPr="00BA5853">
        <w:rPr>
          <w:noProof/>
          <w:sz w:val="22"/>
          <w:szCs w:val="22"/>
          <w:highlight w:val="yellow"/>
        </w:rPr>
        <w:t xml:space="preserve">UNEP-GEF project </w:t>
      </w:r>
      <w:r w:rsidR="0082251B" w:rsidRPr="00BA5853">
        <w:rPr>
          <w:noProof/>
          <w:sz w:val="22"/>
          <w:szCs w:val="22"/>
          <w:highlight w:val="yellow"/>
        </w:rPr>
        <w:t>on preparation of the 3</w:t>
      </w:r>
      <w:r w:rsidR="0082251B" w:rsidRPr="00BA5853">
        <w:rPr>
          <w:noProof/>
          <w:sz w:val="22"/>
          <w:szCs w:val="22"/>
          <w:highlight w:val="yellow"/>
          <w:vertAlign w:val="superscript"/>
        </w:rPr>
        <w:t>rd</w:t>
      </w:r>
      <w:r w:rsidR="0082251B" w:rsidRPr="00BA5853">
        <w:rPr>
          <w:noProof/>
          <w:sz w:val="22"/>
          <w:szCs w:val="22"/>
          <w:highlight w:val="yellow"/>
        </w:rPr>
        <w:t xml:space="preserve"> National Communication and Bienial Update Report (BUR)</w:t>
      </w:r>
      <w:r w:rsidR="004F4EAD" w:rsidRPr="00BA5853">
        <w:rPr>
          <w:noProof/>
          <w:sz w:val="22"/>
          <w:szCs w:val="22"/>
          <w:highlight w:val="yellow"/>
        </w:rPr>
        <w:t>.</w:t>
      </w:r>
    </w:p>
    <w:p w14:paraId="42DF1ADC" w14:textId="77777777" w:rsidR="00A324D9" w:rsidRPr="00A324D9" w:rsidRDefault="00A324D9" w:rsidP="00A324D9">
      <w:pPr>
        <w:spacing w:after="80"/>
        <w:outlineLvl w:val="0"/>
        <w:rPr>
          <w:noProof/>
          <w:sz w:val="22"/>
          <w:szCs w:val="22"/>
        </w:rPr>
      </w:pPr>
      <w:r w:rsidRPr="00A324D9">
        <w:rPr>
          <w:noProof/>
          <w:sz w:val="22"/>
          <w:szCs w:val="22"/>
        </w:rPr>
        <w:t xml:space="preserve">SOCAR – is </w:t>
      </w:r>
      <w:r w:rsidR="00D3789B">
        <w:rPr>
          <w:noProof/>
          <w:sz w:val="22"/>
          <w:szCs w:val="22"/>
        </w:rPr>
        <w:t>a</w:t>
      </w:r>
      <w:r w:rsidR="00D3789B" w:rsidRPr="00A324D9">
        <w:rPr>
          <w:noProof/>
          <w:sz w:val="22"/>
          <w:szCs w:val="22"/>
        </w:rPr>
        <w:t xml:space="preserve"> </w:t>
      </w:r>
      <w:r w:rsidR="00C659CA">
        <w:rPr>
          <w:noProof/>
          <w:sz w:val="22"/>
          <w:szCs w:val="22"/>
        </w:rPr>
        <w:t xml:space="preserve">state-owned </w:t>
      </w:r>
      <w:r w:rsidRPr="00A324D9">
        <w:rPr>
          <w:noProof/>
          <w:sz w:val="22"/>
          <w:szCs w:val="22"/>
        </w:rPr>
        <w:t>joint stock company, it produces and suppl</w:t>
      </w:r>
      <w:r w:rsidR="005B356E">
        <w:rPr>
          <w:noProof/>
          <w:sz w:val="22"/>
          <w:szCs w:val="22"/>
        </w:rPr>
        <w:t>ies</w:t>
      </w:r>
      <w:r w:rsidRPr="00A324D9">
        <w:rPr>
          <w:noProof/>
          <w:sz w:val="22"/>
          <w:szCs w:val="22"/>
        </w:rPr>
        <w:t xml:space="preserve"> oil and gas to all domestic</w:t>
      </w:r>
      <w:r w:rsidR="008447B4">
        <w:rPr>
          <w:noProof/>
          <w:sz w:val="22"/>
          <w:szCs w:val="22"/>
        </w:rPr>
        <w:t xml:space="preserve"> consumers</w:t>
      </w:r>
      <w:r w:rsidRPr="00A324D9">
        <w:rPr>
          <w:noProof/>
          <w:sz w:val="22"/>
          <w:szCs w:val="22"/>
        </w:rPr>
        <w:t xml:space="preserve">. </w:t>
      </w:r>
      <w:r w:rsidR="004F4EAD">
        <w:rPr>
          <w:noProof/>
          <w:sz w:val="22"/>
          <w:szCs w:val="22"/>
        </w:rPr>
        <w:t xml:space="preserve">SOCAR will lead the design and implementation of </w:t>
      </w:r>
      <w:r w:rsidR="005B356E">
        <w:rPr>
          <w:noProof/>
          <w:sz w:val="22"/>
          <w:szCs w:val="22"/>
        </w:rPr>
        <w:t xml:space="preserve">the </w:t>
      </w:r>
      <w:r w:rsidR="004F4EAD">
        <w:rPr>
          <w:noProof/>
          <w:sz w:val="22"/>
          <w:szCs w:val="22"/>
        </w:rPr>
        <w:t>NAMAs in Component 3.</w:t>
      </w:r>
    </w:p>
    <w:p w14:paraId="041639E0" w14:textId="06171354" w:rsidR="00A324D9" w:rsidRPr="00A324D9" w:rsidRDefault="00A324D9" w:rsidP="00A324D9">
      <w:pPr>
        <w:spacing w:after="80"/>
        <w:outlineLvl w:val="0"/>
        <w:rPr>
          <w:noProof/>
          <w:sz w:val="22"/>
          <w:szCs w:val="22"/>
        </w:rPr>
      </w:pPr>
      <w:r w:rsidRPr="00A324D9">
        <w:rPr>
          <w:noProof/>
          <w:sz w:val="22"/>
          <w:szCs w:val="22"/>
        </w:rPr>
        <w:lastRenderedPageBreak/>
        <w:t xml:space="preserve">National Climate Change Center </w:t>
      </w:r>
      <w:r w:rsidR="00BA5853">
        <w:rPr>
          <w:noProof/>
          <w:sz w:val="22"/>
          <w:szCs w:val="22"/>
        </w:rPr>
        <w:t>(NCCC)</w:t>
      </w:r>
      <w:r w:rsidRPr="00A324D9">
        <w:rPr>
          <w:noProof/>
          <w:sz w:val="22"/>
          <w:szCs w:val="22"/>
        </w:rPr>
        <w:t>– public organization</w:t>
      </w:r>
      <w:r w:rsidR="00BA5853">
        <w:rPr>
          <w:noProof/>
          <w:sz w:val="22"/>
          <w:szCs w:val="22"/>
        </w:rPr>
        <w:t xml:space="preserve"> under MENR</w:t>
      </w:r>
      <w:r w:rsidRPr="00A324D9">
        <w:rPr>
          <w:noProof/>
          <w:sz w:val="22"/>
          <w:szCs w:val="22"/>
        </w:rPr>
        <w:t>, which is developing national GHG inventory, National Communication and other analysis on national/sectoral GHG abatement potential and costs</w:t>
      </w:r>
      <w:r w:rsidR="00BA5853">
        <w:rPr>
          <w:noProof/>
          <w:sz w:val="22"/>
          <w:szCs w:val="22"/>
        </w:rPr>
        <w:t xml:space="preserve">. </w:t>
      </w:r>
      <w:r w:rsidR="00BA5853" w:rsidRPr="00BA5853">
        <w:rPr>
          <w:noProof/>
          <w:sz w:val="22"/>
          <w:szCs w:val="22"/>
          <w:highlight w:val="yellow"/>
        </w:rPr>
        <w:t>NCCC team is leading the work on TNC preparation and will also take the lead on complimentary activities envisaged under Components 1, 2 and 4 thus ensuring the necessary level of coordination an synegies between these projects.</w:t>
      </w:r>
      <w:r w:rsidR="00BA5853">
        <w:rPr>
          <w:noProof/>
          <w:sz w:val="22"/>
          <w:szCs w:val="22"/>
        </w:rPr>
        <w:t xml:space="preserve"> </w:t>
      </w:r>
    </w:p>
    <w:p w14:paraId="63B6F295" w14:textId="77777777" w:rsidR="00181E18" w:rsidRDefault="002C7F50" w:rsidP="00870816">
      <w:pPr>
        <w:spacing w:after="80"/>
        <w:outlineLvl w:val="0"/>
        <w:rPr>
          <w:noProof/>
          <w:sz w:val="22"/>
          <w:szCs w:val="22"/>
        </w:rPr>
      </w:pPr>
      <w:r>
        <w:rPr>
          <w:noProof/>
          <w:sz w:val="22"/>
          <w:szCs w:val="22"/>
        </w:rPr>
        <w:t xml:space="preserve">The State Company on Alternative and Renewable Energy Sources was established by the Presidential Decree on June 2012 and is entrusted with provision of state services in the areas of energy efficiency and renewable energy. The company is currently in the process of legal and institutional set up and will benefit from capacity building efforts provided by the project. </w:t>
      </w:r>
    </w:p>
    <w:p w14:paraId="7C851E69" w14:textId="77777777" w:rsidR="002C7F50" w:rsidRPr="00906E33" w:rsidRDefault="002C7F50" w:rsidP="00870816">
      <w:pPr>
        <w:spacing w:after="80"/>
        <w:outlineLvl w:val="0"/>
        <w:rPr>
          <w:noProof/>
          <w:sz w:val="22"/>
          <w:szCs w:val="22"/>
        </w:rPr>
      </w:pPr>
      <w:r>
        <w:rPr>
          <w:noProof/>
          <w:sz w:val="22"/>
          <w:szCs w:val="22"/>
        </w:rPr>
        <w:t xml:space="preserve">Ministry of Energy and Industry will be the key counterpart for development of policy instruments for NAMA implementation in light of its overall mandate in energy sector. </w:t>
      </w:r>
    </w:p>
    <w:p w14:paraId="19EC8BA5" w14:textId="77777777" w:rsidR="00870816" w:rsidRPr="00906E33" w:rsidRDefault="00870816" w:rsidP="00870816">
      <w:pPr>
        <w:spacing w:after="80"/>
        <w:outlineLvl w:val="0"/>
        <w:rPr>
          <w:sz w:val="22"/>
          <w:szCs w:val="22"/>
        </w:rPr>
      </w:pPr>
      <w:r>
        <w:rPr>
          <w:sz w:val="22"/>
          <w:szCs w:val="22"/>
        </w:rPr>
        <w:t xml:space="preserve">A.3 </w:t>
      </w:r>
      <w:r w:rsidR="008857BF">
        <w:rPr>
          <w:sz w:val="22"/>
          <w:szCs w:val="22"/>
        </w:rPr>
        <w:t xml:space="preserve">Risk. </w:t>
      </w:r>
      <w:r w:rsidRPr="00906E33">
        <w:rPr>
          <w:sz w:val="22"/>
          <w:szCs w:val="22"/>
        </w:rPr>
        <w:t>Indicate risks, including climate change</w:t>
      </w:r>
      <w:r w:rsidR="007F44AA">
        <w:rPr>
          <w:sz w:val="22"/>
          <w:szCs w:val="22"/>
        </w:rPr>
        <w:t>, potential social and environmental</w:t>
      </w:r>
      <w:r w:rsidRPr="00906E33">
        <w:rPr>
          <w:sz w:val="22"/>
          <w:szCs w:val="22"/>
        </w:rPr>
        <w:t xml:space="preserve"> risks that might prevent the project objectives from being achieved, and</w:t>
      </w:r>
      <w:r w:rsidR="002C7D5B">
        <w:rPr>
          <w:sz w:val="22"/>
          <w:szCs w:val="22"/>
        </w:rPr>
        <w:t>,</w:t>
      </w:r>
      <w:r w:rsidRPr="00906E33">
        <w:rPr>
          <w:sz w:val="22"/>
          <w:szCs w:val="22"/>
        </w:rPr>
        <w:t xml:space="preserve"> if possible, propose measures that address these risks to be further developed during the project design</w:t>
      </w:r>
      <w:r w:rsidR="00693747">
        <w:rPr>
          <w:sz w:val="22"/>
          <w:szCs w:val="22"/>
        </w:rPr>
        <w:t xml:space="preserve"> (table format acceptable)</w:t>
      </w:r>
      <w:r w:rsidRPr="00906E33">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01"/>
        <w:gridCol w:w="4388"/>
      </w:tblGrid>
      <w:tr w:rsidR="00594214" w:rsidRPr="00CC7880" w14:paraId="7717BF8D" w14:textId="77777777" w:rsidTr="00270E13">
        <w:tc>
          <w:tcPr>
            <w:tcW w:w="2446" w:type="dxa"/>
            <w:shd w:val="clear" w:color="auto" w:fill="auto"/>
          </w:tcPr>
          <w:p w14:paraId="22B60931"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t>Risk</w:t>
            </w:r>
          </w:p>
        </w:tc>
        <w:tc>
          <w:tcPr>
            <w:tcW w:w="1701" w:type="dxa"/>
            <w:shd w:val="clear" w:color="auto" w:fill="auto"/>
          </w:tcPr>
          <w:p w14:paraId="3C8B64E2"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t>Assessment</w:t>
            </w:r>
          </w:p>
        </w:tc>
        <w:tc>
          <w:tcPr>
            <w:tcW w:w="4388" w:type="dxa"/>
            <w:shd w:val="clear" w:color="auto" w:fill="auto"/>
          </w:tcPr>
          <w:p w14:paraId="4AAA01E6"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t>Mitigation Strategy</w:t>
            </w:r>
          </w:p>
        </w:tc>
      </w:tr>
      <w:tr w:rsidR="00594214" w:rsidRPr="00CC7880" w14:paraId="351B638C" w14:textId="77777777" w:rsidTr="00270E13">
        <w:tc>
          <w:tcPr>
            <w:tcW w:w="2446" w:type="dxa"/>
            <w:shd w:val="clear" w:color="auto" w:fill="auto"/>
          </w:tcPr>
          <w:p w14:paraId="651C6CBF"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t>SOCAR withdraws its commitment of voluntary mitigation target</w:t>
            </w:r>
          </w:p>
        </w:tc>
        <w:tc>
          <w:tcPr>
            <w:tcW w:w="1701" w:type="dxa"/>
            <w:shd w:val="clear" w:color="auto" w:fill="auto"/>
          </w:tcPr>
          <w:p w14:paraId="0E84C437"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t>Low</w:t>
            </w:r>
          </w:p>
        </w:tc>
        <w:tc>
          <w:tcPr>
            <w:tcW w:w="4388" w:type="dxa"/>
            <w:shd w:val="clear" w:color="auto" w:fill="auto"/>
          </w:tcPr>
          <w:p w14:paraId="166829E1" w14:textId="77777777" w:rsidR="00594214" w:rsidRPr="00CC7880" w:rsidRDefault="00594214" w:rsidP="005B356E">
            <w:pPr>
              <w:widowControl w:val="0"/>
              <w:autoSpaceDE w:val="0"/>
              <w:autoSpaceDN w:val="0"/>
              <w:adjustRightInd w:val="0"/>
              <w:spacing w:after="240"/>
              <w:rPr>
                <w:rFonts w:ascii="Times" w:hAnsi="Times" w:cs="Times"/>
                <w:sz w:val="22"/>
                <w:szCs w:val="22"/>
              </w:rPr>
            </w:pPr>
            <w:r w:rsidRPr="00CC7880">
              <w:rPr>
                <w:sz w:val="22"/>
                <w:szCs w:val="22"/>
              </w:rPr>
              <w:t>To sustain SOCAR’s commitment and engage other governm</w:t>
            </w:r>
            <w:r>
              <w:rPr>
                <w:sz w:val="22"/>
                <w:szCs w:val="22"/>
              </w:rPr>
              <w:t xml:space="preserve">ental and private actors in </w:t>
            </w:r>
            <w:r w:rsidR="005B356E">
              <w:rPr>
                <w:sz w:val="22"/>
                <w:szCs w:val="22"/>
              </w:rPr>
              <w:t xml:space="preserve">the </w:t>
            </w:r>
            <w:r>
              <w:rPr>
                <w:sz w:val="22"/>
                <w:szCs w:val="22"/>
              </w:rPr>
              <w:t>dia</w:t>
            </w:r>
            <w:r w:rsidRPr="00CC7880">
              <w:rPr>
                <w:sz w:val="22"/>
                <w:szCs w:val="22"/>
              </w:rPr>
              <w:t xml:space="preserve">logue on establishing national voluntary mitigation targets across </w:t>
            </w:r>
            <w:r w:rsidR="005B356E">
              <w:rPr>
                <w:sz w:val="22"/>
                <w:szCs w:val="22"/>
              </w:rPr>
              <w:t>the entire</w:t>
            </w:r>
            <w:r w:rsidR="005B356E" w:rsidRPr="00CC7880">
              <w:rPr>
                <w:sz w:val="22"/>
                <w:szCs w:val="22"/>
              </w:rPr>
              <w:t xml:space="preserve"> </w:t>
            </w:r>
            <w:proofErr w:type="spellStart"/>
            <w:r w:rsidRPr="00CC7880">
              <w:rPr>
                <w:sz w:val="22"/>
                <w:szCs w:val="22"/>
              </w:rPr>
              <w:t>oil&amp;gas</w:t>
            </w:r>
            <w:proofErr w:type="spellEnd"/>
            <w:r w:rsidRPr="00CC7880">
              <w:rPr>
                <w:sz w:val="22"/>
                <w:szCs w:val="22"/>
              </w:rPr>
              <w:t xml:space="preserve"> end-use sector, a high level political involvement will be ensured throughout the implementation of the project and information on the co-benefits of the implementation of the mitigation measures will be broadly communicated.</w:t>
            </w:r>
          </w:p>
        </w:tc>
      </w:tr>
      <w:tr w:rsidR="00594214" w:rsidRPr="00CC7880" w14:paraId="7162D9AB" w14:textId="77777777" w:rsidTr="00270E13">
        <w:tc>
          <w:tcPr>
            <w:tcW w:w="2446" w:type="dxa"/>
            <w:shd w:val="clear" w:color="auto" w:fill="auto"/>
          </w:tcPr>
          <w:p w14:paraId="76C6BE49" w14:textId="77777777" w:rsidR="00594214" w:rsidRPr="00CC7880" w:rsidRDefault="00594214" w:rsidP="00270E13">
            <w:pPr>
              <w:widowControl w:val="0"/>
              <w:autoSpaceDE w:val="0"/>
              <w:autoSpaceDN w:val="0"/>
              <w:adjustRightInd w:val="0"/>
              <w:spacing w:after="240"/>
              <w:rPr>
                <w:rFonts w:ascii="Times" w:hAnsi="Times" w:cs="Times"/>
                <w:sz w:val="22"/>
                <w:szCs w:val="22"/>
              </w:rPr>
            </w:pPr>
            <w:r w:rsidRPr="00CC7880">
              <w:rPr>
                <w:sz w:val="22"/>
                <w:szCs w:val="22"/>
              </w:rPr>
              <w:t>The domestic energy market continues to favor oil and gas over renewable energy resources</w:t>
            </w:r>
          </w:p>
        </w:tc>
        <w:tc>
          <w:tcPr>
            <w:tcW w:w="1701" w:type="dxa"/>
            <w:shd w:val="clear" w:color="auto" w:fill="auto"/>
          </w:tcPr>
          <w:p w14:paraId="417EDAD9"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t>High</w:t>
            </w:r>
          </w:p>
        </w:tc>
        <w:tc>
          <w:tcPr>
            <w:tcW w:w="4388" w:type="dxa"/>
            <w:shd w:val="clear" w:color="auto" w:fill="auto"/>
          </w:tcPr>
          <w:p w14:paraId="3A9E9910" w14:textId="77777777" w:rsidR="00594214" w:rsidRPr="00CC7880" w:rsidRDefault="00C659CA" w:rsidP="00063416">
            <w:pPr>
              <w:widowControl w:val="0"/>
              <w:autoSpaceDE w:val="0"/>
              <w:autoSpaceDN w:val="0"/>
              <w:adjustRightInd w:val="0"/>
              <w:spacing w:after="240"/>
              <w:rPr>
                <w:sz w:val="22"/>
                <w:szCs w:val="22"/>
              </w:rPr>
            </w:pPr>
            <w:r>
              <w:rPr>
                <w:sz w:val="22"/>
                <w:szCs w:val="22"/>
              </w:rPr>
              <w:t>T</w:t>
            </w:r>
            <w:r w:rsidR="00594214" w:rsidRPr="00CC7880">
              <w:rPr>
                <w:sz w:val="22"/>
                <w:szCs w:val="22"/>
              </w:rPr>
              <w:t xml:space="preserve">here is a risk that, despite the country’s and its leading </w:t>
            </w:r>
            <w:proofErr w:type="spellStart"/>
            <w:r w:rsidR="00594214" w:rsidRPr="00CC7880">
              <w:rPr>
                <w:sz w:val="22"/>
                <w:szCs w:val="22"/>
              </w:rPr>
              <w:t>oil&amp;gas</w:t>
            </w:r>
            <w:proofErr w:type="spellEnd"/>
            <w:r w:rsidR="00594214" w:rsidRPr="00CC7880">
              <w:rPr>
                <w:sz w:val="22"/>
                <w:szCs w:val="22"/>
              </w:rPr>
              <w:t xml:space="preserve"> company, SOCAR’s, willingness to revert this trend, market forces and domestic economic conditions will continue to favor oil and natural gas over other renewable resources. The project will have to confront this risk upfront, providing technically reliable and credible analyses that highlight the costs and benefits of diversifying the energy matrix and supporting energy efficiency and </w:t>
            </w:r>
            <w:r w:rsidR="00594214" w:rsidRPr="00063416">
              <w:rPr>
                <w:sz w:val="22"/>
                <w:szCs w:val="22"/>
              </w:rPr>
              <w:t xml:space="preserve">renewable energy. </w:t>
            </w:r>
            <w:r w:rsidRPr="00063416">
              <w:rPr>
                <w:sz w:val="22"/>
                <w:szCs w:val="22"/>
              </w:rPr>
              <w:t>It will also demonstrate that RE options are cost-competitive when compared with fossil fuel baseline options (</w:t>
            </w:r>
            <w:r w:rsidR="00063416" w:rsidRPr="00063416">
              <w:rPr>
                <w:sz w:val="22"/>
                <w:szCs w:val="22"/>
              </w:rPr>
              <w:t>when export prices are factored in</w:t>
            </w:r>
            <w:r w:rsidRPr="00063416">
              <w:rPr>
                <w:sz w:val="22"/>
                <w:szCs w:val="22"/>
              </w:rPr>
              <w:t>) and create such investment environment</w:t>
            </w:r>
            <w:r w:rsidR="00063416">
              <w:rPr>
                <w:sz w:val="22"/>
                <w:szCs w:val="22"/>
              </w:rPr>
              <w:t>,</w:t>
            </w:r>
            <w:r w:rsidRPr="00063416">
              <w:rPr>
                <w:sz w:val="22"/>
                <w:szCs w:val="22"/>
              </w:rPr>
              <w:t xml:space="preserve"> </w:t>
            </w:r>
            <w:r w:rsidR="00063416" w:rsidRPr="00063416">
              <w:rPr>
                <w:sz w:val="22"/>
                <w:szCs w:val="22"/>
              </w:rPr>
              <w:t>which</w:t>
            </w:r>
            <w:r w:rsidRPr="00063416">
              <w:rPr>
                <w:sz w:val="22"/>
                <w:szCs w:val="22"/>
              </w:rPr>
              <w:t xml:space="preserve"> will make the economic and financial incentives for </w:t>
            </w:r>
            <w:r w:rsidR="00063416" w:rsidRPr="00063416">
              <w:rPr>
                <w:sz w:val="22"/>
                <w:szCs w:val="22"/>
              </w:rPr>
              <w:t>R</w:t>
            </w:r>
            <w:r w:rsidRPr="00063416">
              <w:rPr>
                <w:sz w:val="22"/>
                <w:szCs w:val="22"/>
              </w:rPr>
              <w:t>E more obvious and attractive to investors</w:t>
            </w:r>
            <w:r>
              <w:t>.</w:t>
            </w:r>
          </w:p>
        </w:tc>
      </w:tr>
      <w:tr w:rsidR="00594214" w:rsidRPr="00CC7880" w14:paraId="5A5FEE79" w14:textId="77777777" w:rsidTr="00270E13">
        <w:tc>
          <w:tcPr>
            <w:tcW w:w="2446" w:type="dxa"/>
            <w:shd w:val="clear" w:color="auto" w:fill="auto"/>
          </w:tcPr>
          <w:p w14:paraId="784573AC" w14:textId="77777777" w:rsidR="00594214" w:rsidRDefault="00594214" w:rsidP="00270E13">
            <w:pPr>
              <w:widowControl w:val="0"/>
              <w:autoSpaceDE w:val="0"/>
              <w:autoSpaceDN w:val="0"/>
              <w:adjustRightInd w:val="0"/>
              <w:spacing w:after="240"/>
              <w:rPr>
                <w:sz w:val="22"/>
                <w:szCs w:val="22"/>
              </w:rPr>
            </w:pPr>
            <w:r w:rsidRPr="00CC7880">
              <w:rPr>
                <w:sz w:val="22"/>
                <w:szCs w:val="22"/>
              </w:rPr>
              <w:t>Climate change impacts</w:t>
            </w:r>
          </w:p>
          <w:p w14:paraId="1B7385BF" w14:textId="77777777" w:rsidR="00063416" w:rsidRPr="00063416" w:rsidRDefault="00063416" w:rsidP="00270E13">
            <w:pPr>
              <w:widowControl w:val="0"/>
              <w:autoSpaceDE w:val="0"/>
              <w:autoSpaceDN w:val="0"/>
              <w:adjustRightInd w:val="0"/>
              <w:spacing w:after="240"/>
              <w:rPr>
                <w:sz w:val="20"/>
                <w:szCs w:val="20"/>
              </w:rPr>
            </w:pPr>
            <w:r w:rsidRPr="00063416">
              <w:rPr>
                <w:sz w:val="20"/>
                <w:szCs w:val="20"/>
              </w:rPr>
              <w:t xml:space="preserve">First, climate change is having a significant impact on the availability of hydro resources as droughts </w:t>
            </w:r>
            <w:r w:rsidRPr="00063416">
              <w:rPr>
                <w:sz w:val="20"/>
                <w:szCs w:val="20"/>
              </w:rPr>
              <w:lastRenderedPageBreak/>
              <w:t>accelerate. Second, increasing temperature will drive up power demand in summer season and might, therefore, counterbalance, the impact of energy saving measures in end-use sectors.</w:t>
            </w:r>
          </w:p>
        </w:tc>
        <w:tc>
          <w:tcPr>
            <w:tcW w:w="1701" w:type="dxa"/>
            <w:shd w:val="clear" w:color="auto" w:fill="auto"/>
          </w:tcPr>
          <w:p w14:paraId="39DEB865" w14:textId="77777777" w:rsidR="00594214" w:rsidRPr="00CC7880" w:rsidRDefault="00594214" w:rsidP="00270E13">
            <w:pPr>
              <w:widowControl w:val="0"/>
              <w:autoSpaceDE w:val="0"/>
              <w:autoSpaceDN w:val="0"/>
              <w:adjustRightInd w:val="0"/>
              <w:spacing w:after="240"/>
              <w:rPr>
                <w:sz w:val="22"/>
                <w:szCs w:val="22"/>
              </w:rPr>
            </w:pPr>
            <w:r w:rsidRPr="00CC7880">
              <w:rPr>
                <w:sz w:val="22"/>
                <w:szCs w:val="22"/>
              </w:rPr>
              <w:lastRenderedPageBreak/>
              <w:t>Moderate</w:t>
            </w:r>
          </w:p>
        </w:tc>
        <w:tc>
          <w:tcPr>
            <w:tcW w:w="4388" w:type="dxa"/>
            <w:shd w:val="clear" w:color="auto" w:fill="auto"/>
          </w:tcPr>
          <w:p w14:paraId="3054C386" w14:textId="77777777" w:rsidR="00380EA0" w:rsidRPr="00CC7880" w:rsidRDefault="00380EA0" w:rsidP="00380EA0">
            <w:pPr>
              <w:widowControl w:val="0"/>
              <w:autoSpaceDE w:val="0"/>
              <w:autoSpaceDN w:val="0"/>
              <w:adjustRightInd w:val="0"/>
              <w:spacing w:after="240"/>
              <w:rPr>
                <w:rFonts w:ascii="Times" w:hAnsi="Times" w:cs="Times"/>
                <w:sz w:val="22"/>
                <w:szCs w:val="22"/>
              </w:rPr>
            </w:pPr>
            <w:r>
              <w:rPr>
                <w:sz w:val="22"/>
                <w:szCs w:val="22"/>
              </w:rPr>
              <w:t xml:space="preserve">For each of identified NAMA climate risk analysis will be undertaken and risk mitigation options embedded in NAMA design, for instance, increased power demand can be addressed by measures to stimulate uptake of more efficient building and appliances. With </w:t>
            </w:r>
            <w:r>
              <w:rPr>
                <w:sz w:val="22"/>
                <w:szCs w:val="22"/>
              </w:rPr>
              <w:lastRenderedPageBreak/>
              <w:t xml:space="preserve">regard to NAMAs focusing on fuel switch from </w:t>
            </w:r>
            <w:proofErr w:type="spellStart"/>
            <w:r>
              <w:rPr>
                <w:sz w:val="22"/>
                <w:szCs w:val="22"/>
              </w:rPr>
              <w:t>oil&amp;gas</w:t>
            </w:r>
            <w:proofErr w:type="spellEnd"/>
            <w:r>
              <w:rPr>
                <w:sz w:val="22"/>
                <w:szCs w:val="22"/>
              </w:rPr>
              <w:t xml:space="preserve"> to renewables, such as hydro power, additional climatic assessment would need to be conducted to assess resource availability in the</w:t>
            </w:r>
            <w:r w:rsidR="005C43D2">
              <w:rPr>
                <w:sz w:val="22"/>
                <w:szCs w:val="22"/>
              </w:rPr>
              <w:t xml:space="preserve"> long-</w:t>
            </w:r>
            <w:r>
              <w:rPr>
                <w:sz w:val="22"/>
                <w:szCs w:val="22"/>
              </w:rPr>
              <w:t xml:space="preserve">run.  </w:t>
            </w:r>
          </w:p>
          <w:p w14:paraId="3EDDB46F" w14:textId="77777777" w:rsidR="00594214" w:rsidRPr="00CC7880" w:rsidRDefault="00594214" w:rsidP="00270E13">
            <w:pPr>
              <w:widowControl w:val="0"/>
              <w:autoSpaceDE w:val="0"/>
              <w:autoSpaceDN w:val="0"/>
              <w:adjustRightInd w:val="0"/>
              <w:spacing w:after="240"/>
              <w:rPr>
                <w:rFonts w:ascii="Times" w:hAnsi="Times" w:cs="Times"/>
                <w:sz w:val="22"/>
                <w:szCs w:val="22"/>
              </w:rPr>
            </w:pPr>
          </w:p>
        </w:tc>
      </w:tr>
    </w:tbl>
    <w:p w14:paraId="2D4C843B" w14:textId="77777777" w:rsidR="00594214" w:rsidRDefault="00594214" w:rsidP="00870816">
      <w:pPr>
        <w:spacing w:after="80"/>
        <w:outlineLvl w:val="0"/>
        <w:rPr>
          <w:sz w:val="22"/>
          <w:szCs w:val="22"/>
        </w:rPr>
      </w:pPr>
    </w:p>
    <w:p w14:paraId="6B7990F7" w14:textId="77777777" w:rsidR="00870816" w:rsidRPr="00906E33" w:rsidRDefault="00870816" w:rsidP="00870816">
      <w:pPr>
        <w:spacing w:after="80"/>
        <w:outlineLvl w:val="0"/>
        <w:rPr>
          <w:sz w:val="22"/>
          <w:szCs w:val="22"/>
        </w:rPr>
      </w:pPr>
      <w:r>
        <w:rPr>
          <w:sz w:val="22"/>
          <w:szCs w:val="22"/>
        </w:rPr>
        <w:t>A.4</w:t>
      </w:r>
      <w:r w:rsidRPr="00BE1748">
        <w:rPr>
          <w:sz w:val="22"/>
          <w:szCs w:val="22"/>
        </w:rPr>
        <w:t xml:space="preserve">. </w:t>
      </w:r>
      <w:r w:rsidR="008857BF">
        <w:rPr>
          <w:sz w:val="22"/>
          <w:szCs w:val="22"/>
        </w:rPr>
        <w:t xml:space="preserve">Coordination. </w:t>
      </w:r>
      <w:r w:rsidRPr="00BE1748">
        <w:rPr>
          <w:sz w:val="22"/>
          <w:szCs w:val="22"/>
        </w:rPr>
        <w:t>Outline the</w:t>
      </w:r>
      <w:r>
        <w:rPr>
          <w:sz w:val="22"/>
          <w:szCs w:val="22"/>
        </w:rPr>
        <w:t xml:space="preserve"> coordination with other relevant GEF financed</w:t>
      </w:r>
      <w:r w:rsidR="009F2052">
        <w:rPr>
          <w:sz w:val="22"/>
          <w:szCs w:val="22"/>
        </w:rPr>
        <w:t xml:space="preserve"> and other</w:t>
      </w:r>
      <w:r>
        <w:rPr>
          <w:sz w:val="22"/>
          <w:szCs w:val="22"/>
        </w:rPr>
        <w:t xml:space="preserve"> </w:t>
      </w:r>
      <w:r w:rsidRPr="00BE1748">
        <w:rPr>
          <w:sz w:val="22"/>
          <w:szCs w:val="22"/>
        </w:rPr>
        <w:t>initiatives:</w:t>
      </w:r>
      <w:r w:rsidRPr="00906E33">
        <w:rPr>
          <w:sz w:val="22"/>
          <w:szCs w:val="22"/>
        </w:rPr>
        <w:t xml:space="preserve"> </w:t>
      </w:r>
    </w:p>
    <w:tbl>
      <w:tblPr>
        <w:tblW w:w="0" w:type="auto"/>
        <w:tblLook w:val="04A0" w:firstRow="1" w:lastRow="0" w:firstColumn="1" w:lastColumn="0" w:noHBand="0" w:noVBand="1"/>
      </w:tblPr>
      <w:tblGrid>
        <w:gridCol w:w="8748"/>
      </w:tblGrid>
      <w:tr w:rsidR="00870816" w:rsidRPr="00906E33" w14:paraId="780BE689" w14:textId="77777777" w:rsidTr="00216CFB">
        <w:tc>
          <w:tcPr>
            <w:tcW w:w="8748" w:type="dxa"/>
          </w:tcPr>
          <w:p w14:paraId="27E7267C" w14:textId="2A1B1592" w:rsidR="00870816" w:rsidRDefault="00A324D9" w:rsidP="00594214">
            <w:pPr>
              <w:spacing w:after="80"/>
              <w:outlineLvl w:val="0"/>
              <w:rPr>
                <w:noProof/>
                <w:sz w:val="22"/>
                <w:szCs w:val="22"/>
              </w:rPr>
            </w:pPr>
            <w:bookmarkStart w:id="55" w:name="outlineCoordination"/>
            <w:r w:rsidRPr="00A324D9">
              <w:rPr>
                <w:noProof/>
                <w:sz w:val="22"/>
                <w:szCs w:val="22"/>
              </w:rPr>
              <w:t xml:space="preserve">The proposed project will be closely coordinated with the following on-going initiatives: EU Energy Sector Reform Project, UNDP (EU/Norway-funded) Renewable Energy Project, </w:t>
            </w:r>
            <w:r w:rsidR="00594214">
              <w:rPr>
                <w:noProof/>
                <w:sz w:val="22"/>
                <w:szCs w:val="22"/>
              </w:rPr>
              <w:t xml:space="preserve">UNEP/GEF Technology Needs Assessment Project, and ADB-funded regional project on economics of climate change. </w:t>
            </w:r>
            <w:r w:rsidR="00E35CD7" w:rsidRPr="00E35CD7">
              <w:rPr>
                <w:noProof/>
                <w:sz w:val="22"/>
                <w:szCs w:val="22"/>
                <w:highlight w:val="yellow"/>
              </w:rPr>
              <w:t xml:space="preserve">The project will work in close coordination with the process of preparation of 3rd National Communication </w:t>
            </w:r>
            <w:r w:rsidR="00E35CD7">
              <w:rPr>
                <w:noProof/>
                <w:sz w:val="22"/>
                <w:szCs w:val="22"/>
                <w:highlight w:val="yellow"/>
              </w:rPr>
              <w:t xml:space="preserve">(TNC) </w:t>
            </w:r>
            <w:r w:rsidR="00E35CD7" w:rsidRPr="00E35CD7">
              <w:rPr>
                <w:noProof/>
                <w:sz w:val="22"/>
                <w:szCs w:val="22"/>
                <w:highlight w:val="yellow"/>
              </w:rPr>
              <w:t xml:space="preserve">and BUR. All technical studies and reports to be conducted under PPG and full-sized project will be made available and will feed in the </w:t>
            </w:r>
            <w:r w:rsidR="00E35CD7">
              <w:rPr>
                <w:noProof/>
                <w:sz w:val="22"/>
                <w:szCs w:val="22"/>
                <w:highlight w:val="yellow"/>
              </w:rPr>
              <w:t>TNC</w:t>
            </w:r>
            <w:r w:rsidR="00E35CD7" w:rsidRPr="00E35CD7">
              <w:rPr>
                <w:noProof/>
                <w:sz w:val="22"/>
                <w:szCs w:val="22"/>
                <w:highlight w:val="yellow"/>
              </w:rPr>
              <w:t>, and vice-versa.</w:t>
            </w:r>
            <w:r w:rsidR="00E35CD7" w:rsidRPr="00E35CD7">
              <w:rPr>
                <w:noProof/>
                <w:sz w:val="22"/>
                <w:szCs w:val="22"/>
              </w:rPr>
              <w:t xml:space="preserve"> </w:t>
            </w:r>
            <w:r w:rsidR="00594214">
              <w:rPr>
                <w:noProof/>
                <w:sz w:val="22"/>
                <w:szCs w:val="22"/>
              </w:rPr>
              <w:t>The coordination will ensured via Project Board where all representatives of related projects will be invited. Project Baord will formally meet twice a year to review, approve and revise, as needed, annual UNDP-GEF project workplan, at which stage linkages and collaborative actions with other initiates can be proposed and incorporated in project work program</w:t>
            </w:r>
            <w:r w:rsidRPr="00A324D9">
              <w:rPr>
                <w:noProof/>
                <w:sz w:val="22"/>
                <w:szCs w:val="22"/>
              </w:rPr>
              <w:t>.</w:t>
            </w:r>
            <w:bookmarkEnd w:id="55"/>
          </w:p>
          <w:p w14:paraId="31BB4326" w14:textId="774EB24D" w:rsidR="00E35CD7" w:rsidRPr="00906E33" w:rsidRDefault="00E35CD7" w:rsidP="00594214">
            <w:pPr>
              <w:spacing w:after="80"/>
              <w:outlineLvl w:val="0"/>
              <w:rPr>
                <w:sz w:val="22"/>
                <w:szCs w:val="22"/>
              </w:rPr>
            </w:pPr>
          </w:p>
        </w:tc>
      </w:tr>
    </w:tbl>
    <w:p w14:paraId="7B981EE3" w14:textId="77777777" w:rsidR="00870816" w:rsidRDefault="00870816" w:rsidP="00AE49B5">
      <w:pPr>
        <w:pStyle w:val="Footer"/>
        <w:rPr>
          <w:b/>
          <w:caps/>
          <w:color w:val="00B0F0"/>
          <w:sz w:val="22"/>
          <w:szCs w:val="22"/>
          <w:u w:val="single"/>
        </w:rPr>
      </w:pPr>
    </w:p>
    <w:p w14:paraId="15E5D3E4" w14:textId="77777777" w:rsidR="00870816" w:rsidRPr="00661A08" w:rsidRDefault="00870816" w:rsidP="00AE49B5">
      <w:pPr>
        <w:pStyle w:val="Footer"/>
        <w:rPr>
          <w:b/>
          <w:caps/>
          <w:color w:val="00B0F0"/>
          <w:sz w:val="22"/>
          <w:szCs w:val="22"/>
          <w:u w:val="single"/>
        </w:rPr>
      </w:pPr>
    </w:p>
    <w:p w14:paraId="2CFE9B2F" w14:textId="77777777" w:rsidR="00EE01F3" w:rsidRPr="00AA0E94" w:rsidRDefault="00AE49B5" w:rsidP="00744ACA">
      <w:pPr>
        <w:pStyle w:val="ColorfulList-Accent11"/>
      </w:pPr>
      <w:r w:rsidRPr="00744ACA">
        <w:rPr>
          <w:rFonts w:ascii="Times New Roman Bold" w:hAnsi="Times New Roman Bold"/>
          <w:b/>
          <w:smallCaps/>
        </w:rPr>
        <w:t>Description of the consistency of the project with</w:t>
      </w:r>
      <w:r w:rsidRPr="007E3AFB">
        <w:t>:</w:t>
      </w:r>
    </w:p>
    <w:tbl>
      <w:tblPr>
        <w:tblW w:w="0" w:type="auto"/>
        <w:tblLook w:val="04A0" w:firstRow="1" w:lastRow="0" w:firstColumn="1" w:lastColumn="0" w:noHBand="0" w:noVBand="1"/>
      </w:tblPr>
      <w:tblGrid>
        <w:gridCol w:w="8478"/>
      </w:tblGrid>
      <w:tr w:rsidR="00E31B0D" w:rsidRPr="003775AD" w14:paraId="73F72D1F" w14:textId="77777777" w:rsidTr="00906E33">
        <w:tc>
          <w:tcPr>
            <w:tcW w:w="8478" w:type="dxa"/>
          </w:tcPr>
          <w:p w14:paraId="3E942D3F" w14:textId="77777777" w:rsidR="00906E33" w:rsidRDefault="00870816" w:rsidP="00906E33">
            <w:pPr>
              <w:spacing w:after="80"/>
              <w:outlineLvl w:val="0"/>
              <w:rPr>
                <w:sz w:val="22"/>
                <w:szCs w:val="22"/>
              </w:rPr>
            </w:pPr>
            <w:r>
              <w:rPr>
                <w:sz w:val="22"/>
                <w:szCs w:val="22"/>
              </w:rPr>
              <w:t>B</w:t>
            </w:r>
            <w:r w:rsidR="00E31B0D" w:rsidRPr="003775AD">
              <w:rPr>
                <w:sz w:val="22"/>
                <w:szCs w:val="22"/>
              </w:rPr>
              <w:t>.1</w:t>
            </w:r>
            <w:r w:rsidR="00E51A9E" w:rsidRPr="00BE1748">
              <w:rPr>
                <w:sz w:val="22"/>
                <w:szCs w:val="22"/>
              </w:rPr>
              <w:t xml:space="preserve"> </w:t>
            </w:r>
            <w:r w:rsidR="002E29F2" w:rsidRPr="00906E33">
              <w:rPr>
                <w:sz w:val="22"/>
                <w:szCs w:val="22"/>
              </w:rPr>
              <w:t>N</w:t>
            </w:r>
            <w:r w:rsidR="00E51A9E" w:rsidRPr="00906E33">
              <w:rPr>
                <w:sz w:val="22"/>
                <w:szCs w:val="22"/>
              </w:rPr>
              <w:t>ational strategies and plans</w:t>
            </w:r>
            <w:r w:rsidR="00E51A9E" w:rsidRPr="00BE1748">
              <w:rPr>
                <w:sz w:val="22"/>
                <w:szCs w:val="22"/>
              </w:rPr>
              <w:t xml:space="preserve"> or reports and assessments </w:t>
            </w:r>
            <w:r w:rsidR="001E0CDA">
              <w:rPr>
                <w:sz w:val="22"/>
                <w:szCs w:val="22"/>
              </w:rPr>
              <w:t xml:space="preserve">under relevant conventions, if </w:t>
            </w:r>
            <w:r w:rsidR="00E51A9E" w:rsidRPr="00BE1748">
              <w:rPr>
                <w:sz w:val="22"/>
                <w:szCs w:val="22"/>
              </w:rPr>
              <w:t xml:space="preserve">applicable, i.e. NAPAS, NAPs, NBSAPs, national communications, TNAs, </w:t>
            </w:r>
            <w:r w:rsidR="00F91DD9">
              <w:rPr>
                <w:sz w:val="22"/>
                <w:szCs w:val="22"/>
              </w:rPr>
              <w:t xml:space="preserve">NCSAs, </w:t>
            </w:r>
            <w:r w:rsidR="00E51A9E" w:rsidRPr="00BE1748">
              <w:rPr>
                <w:sz w:val="22"/>
                <w:szCs w:val="22"/>
              </w:rPr>
              <w:t xml:space="preserve">NIPs, PRSPs, NPFE, </w:t>
            </w:r>
            <w:r w:rsidR="00822A4A">
              <w:rPr>
                <w:sz w:val="22"/>
                <w:szCs w:val="22"/>
              </w:rPr>
              <w:t xml:space="preserve">Biennial Update Reports, </w:t>
            </w:r>
            <w:r w:rsidR="00E51A9E" w:rsidRPr="00BE1748">
              <w:rPr>
                <w:sz w:val="22"/>
                <w:szCs w:val="22"/>
              </w:rPr>
              <w:t>etc.</w:t>
            </w:r>
            <w:r w:rsidR="002C7D5B">
              <w:rPr>
                <w:sz w:val="22"/>
                <w:szCs w:val="22"/>
              </w:rPr>
              <w:t>:</w:t>
            </w:r>
          </w:p>
          <w:p w14:paraId="55989530" w14:textId="77777777" w:rsidR="00A324D9" w:rsidRPr="00A324D9" w:rsidRDefault="00A324D9" w:rsidP="00A324D9">
            <w:pPr>
              <w:spacing w:after="80"/>
              <w:outlineLvl w:val="0"/>
              <w:rPr>
                <w:noProof/>
                <w:sz w:val="22"/>
                <w:szCs w:val="22"/>
              </w:rPr>
            </w:pPr>
            <w:r w:rsidRPr="00A324D9">
              <w:rPr>
                <w:noProof/>
                <w:sz w:val="22"/>
                <w:szCs w:val="22"/>
              </w:rPr>
              <w:t xml:space="preserve">The project is </w:t>
            </w:r>
            <w:r>
              <w:rPr>
                <w:noProof/>
                <w:sz w:val="22"/>
                <w:szCs w:val="22"/>
              </w:rPr>
              <w:t>in line with</w:t>
            </w:r>
            <w:r w:rsidRPr="00A324D9">
              <w:rPr>
                <w:noProof/>
                <w:sz w:val="22"/>
                <w:szCs w:val="22"/>
              </w:rPr>
              <w:t xml:space="preserve"> Azerbaijan’s National Communications to the UNFCCC. The Second National Communication submitted to the UNFCCC in 2010 establishes national level GHG inventories and identifies key sectors for domestic mitigation activities. This project builds upon this framework to identify and implement Nationally Appropriate Mitigation Measures in the oil&amp;gas end-use sector.</w:t>
            </w:r>
          </w:p>
          <w:p w14:paraId="59A04155" w14:textId="77777777" w:rsidR="00E31B0D" w:rsidRPr="003775AD" w:rsidRDefault="00A324D9" w:rsidP="00A324D9">
            <w:pPr>
              <w:spacing w:after="80"/>
              <w:outlineLvl w:val="0"/>
              <w:rPr>
                <w:sz w:val="22"/>
                <w:szCs w:val="22"/>
              </w:rPr>
            </w:pPr>
            <w:r w:rsidRPr="00A324D9">
              <w:rPr>
                <w:noProof/>
                <w:sz w:val="22"/>
                <w:szCs w:val="22"/>
              </w:rPr>
              <w:t>The project also builds upon Climate Change Mitigation Strategy of SOCAR, national oil&amp;gas company, which established company’s voluntary commitments and targets to reduce GHG emissions from its operations in oil&amp;gas sector.</w:t>
            </w:r>
          </w:p>
        </w:tc>
      </w:tr>
    </w:tbl>
    <w:p w14:paraId="6C8AF6E5" w14:textId="77777777" w:rsidR="00906E33" w:rsidRDefault="00870816" w:rsidP="00906E33">
      <w:pPr>
        <w:spacing w:after="80"/>
        <w:outlineLvl w:val="0"/>
        <w:rPr>
          <w:sz w:val="22"/>
          <w:szCs w:val="22"/>
        </w:rPr>
      </w:pPr>
      <w:r>
        <w:rPr>
          <w:sz w:val="22"/>
          <w:szCs w:val="22"/>
        </w:rPr>
        <w:t>B</w:t>
      </w:r>
      <w:r w:rsidR="00AE49B5" w:rsidRPr="00BE1748">
        <w:rPr>
          <w:sz w:val="22"/>
          <w:szCs w:val="22"/>
        </w:rPr>
        <w:t xml:space="preserve">.2. </w:t>
      </w:r>
      <w:r w:rsidR="00E51A9E" w:rsidRPr="00906E33">
        <w:rPr>
          <w:sz w:val="22"/>
          <w:szCs w:val="22"/>
        </w:rPr>
        <w:t>GEF</w:t>
      </w:r>
      <w:r w:rsidR="00E51A9E">
        <w:rPr>
          <w:sz w:val="22"/>
          <w:szCs w:val="22"/>
        </w:rPr>
        <w:t xml:space="preserve"> </w:t>
      </w:r>
      <w:r w:rsidR="00F91DD9">
        <w:rPr>
          <w:sz w:val="22"/>
          <w:szCs w:val="22"/>
        </w:rPr>
        <w:t xml:space="preserve">focal area and/or </w:t>
      </w:r>
      <w:r w:rsidR="00E51A9E">
        <w:rPr>
          <w:sz w:val="22"/>
          <w:szCs w:val="22"/>
        </w:rPr>
        <w:t xml:space="preserve">fund(s) </w:t>
      </w:r>
      <w:r w:rsidR="00E51A9E" w:rsidRPr="00BE1748">
        <w:rPr>
          <w:sz w:val="22"/>
          <w:szCs w:val="22"/>
        </w:rPr>
        <w:t>strategies</w:t>
      </w:r>
      <w:r w:rsidR="00E51A9E">
        <w:rPr>
          <w:sz w:val="22"/>
          <w:szCs w:val="22"/>
        </w:rPr>
        <w:t xml:space="preserve">, </w:t>
      </w:r>
      <w:r w:rsidR="00E51A9E" w:rsidRPr="00BE1748">
        <w:rPr>
          <w:sz w:val="22"/>
          <w:szCs w:val="22"/>
        </w:rPr>
        <w:t>eligibi</w:t>
      </w:r>
      <w:r w:rsidR="00E51A9E">
        <w:rPr>
          <w:sz w:val="22"/>
          <w:szCs w:val="22"/>
        </w:rPr>
        <w:t>lity criteria and priorities</w:t>
      </w:r>
      <w:r w:rsidR="002C7D5B">
        <w:rPr>
          <w:sz w:val="22"/>
          <w:szCs w:val="22"/>
        </w:rPr>
        <w:t>:</w:t>
      </w:r>
    </w:p>
    <w:p w14:paraId="2A2E9A1E" w14:textId="77777777" w:rsidR="00E51A9E" w:rsidRDefault="00A324D9" w:rsidP="00270E13">
      <w:pPr>
        <w:widowControl w:val="0"/>
        <w:autoSpaceDE w:val="0"/>
        <w:autoSpaceDN w:val="0"/>
        <w:adjustRightInd w:val="0"/>
        <w:rPr>
          <w:sz w:val="22"/>
          <w:szCs w:val="22"/>
        </w:rPr>
      </w:pPr>
      <w:r w:rsidRPr="00077A08">
        <w:rPr>
          <w:noProof/>
          <w:sz w:val="22"/>
          <w:szCs w:val="22"/>
          <w:highlight w:val="yellow"/>
        </w:rPr>
        <w:t>The project is consistent with GEF Climate Change Mitigation Objective 6 – Support Enabling Activities under the Convention</w:t>
      </w:r>
      <w:r w:rsidR="00594214" w:rsidRPr="00077A08">
        <w:rPr>
          <w:noProof/>
          <w:sz w:val="22"/>
          <w:szCs w:val="22"/>
          <w:highlight w:val="yellow"/>
        </w:rPr>
        <w:t>,</w:t>
      </w:r>
      <w:r w:rsidRPr="00077A08">
        <w:rPr>
          <w:noProof/>
          <w:sz w:val="22"/>
          <w:szCs w:val="22"/>
          <w:highlight w:val="yellow"/>
        </w:rPr>
        <w:t xml:space="preserve"> Objective 2 - Promote market transformation for energy efficiency in industry and the building</w:t>
      </w:r>
      <w:r w:rsidR="00270E13" w:rsidRPr="00077A08">
        <w:rPr>
          <w:noProof/>
          <w:sz w:val="22"/>
          <w:szCs w:val="22"/>
          <w:highlight w:val="yellow"/>
        </w:rPr>
        <w:t xml:space="preserve">, </w:t>
      </w:r>
      <w:r w:rsidR="00077A08" w:rsidRPr="00077A08">
        <w:rPr>
          <w:noProof/>
          <w:sz w:val="22"/>
          <w:szCs w:val="22"/>
          <w:highlight w:val="yellow"/>
        </w:rPr>
        <w:t xml:space="preserve">and </w:t>
      </w:r>
      <w:r w:rsidR="00270E13" w:rsidRPr="00077A08">
        <w:rPr>
          <w:sz w:val="22"/>
          <w:szCs w:val="22"/>
          <w:highlight w:val="yellow"/>
        </w:rPr>
        <w:t>Objective 3 – Promote investment in renewable energy technologies</w:t>
      </w:r>
      <w:r w:rsidRPr="00077A08">
        <w:rPr>
          <w:noProof/>
          <w:sz w:val="22"/>
          <w:szCs w:val="22"/>
          <w:highlight w:val="yellow"/>
        </w:rPr>
        <w:t>.</w:t>
      </w:r>
      <w:r w:rsidRPr="00270E13">
        <w:rPr>
          <w:noProof/>
          <w:sz w:val="22"/>
          <w:szCs w:val="22"/>
        </w:rPr>
        <w:t xml:space="preserve"> At</w:t>
      </w:r>
      <w:r w:rsidRPr="00A324D9">
        <w:rPr>
          <w:noProof/>
          <w:sz w:val="22"/>
          <w:szCs w:val="22"/>
        </w:rPr>
        <w:t xml:space="preserve"> COP 17 in Durban, the Parties recognized “the need for support for enabling activities to assist developing country Parties in the identification and preparation of nationally appropriate mitigation actions for submission to the registry, and support for their implementation” (FCCC/AWGLCA/2011/L.4). </w:t>
      </w:r>
      <w:r w:rsidRPr="00077A08">
        <w:rPr>
          <w:noProof/>
          <w:sz w:val="22"/>
          <w:szCs w:val="22"/>
          <w:highlight w:val="yellow"/>
        </w:rPr>
        <w:t>In this line the Government of Azerbaijan is requesting support for the definition, design, and implementation of NAMAs (CCM- 6) in key oil&amp;gas end-use sectors, buildings (CCM-2)</w:t>
      </w:r>
      <w:r w:rsidR="00077A08" w:rsidRPr="00077A08">
        <w:rPr>
          <w:noProof/>
          <w:sz w:val="22"/>
          <w:szCs w:val="22"/>
          <w:highlight w:val="yellow"/>
        </w:rPr>
        <w:t xml:space="preserve"> and </w:t>
      </w:r>
      <w:r w:rsidR="00270E13" w:rsidRPr="00077A08">
        <w:rPr>
          <w:noProof/>
          <w:sz w:val="22"/>
          <w:szCs w:val="22"/>
          <w:highlight w:val="yellow"/>
        </w:rPr>
        <w:t>electricity generation (CCM-3)</w:t>
      </w:r>
      <w:r w:rsidRPr="00077A08">
        <w:rPr>
          <w:noProof/>
          <w:sz w:val="22"/>
          <w:szCs w:val="22"/>
          <w:highlight w:val="yellow"/>
        </w:rPr>
        <w:t>.</w:t>
      </w:r>
    </w:p>
    <w:p w14:paraId="58DB2C2A" w14:textId="77777777" w:rsidR="00270E13" w:rsidRDefault="00270E13" w:rsidP="00906E33">
      <w:pPr>
        <w:spacing w:after="80"/>
        <w:rPr>
          <w:sz w:val="22"/>
          <w:szCs w:val="22"/>
        </w:rPr>
      </w:pPr>
    </w:p>
    <w:p w14:paraId="6B3A3B18" w14:textId="77777777" w:rsidR="00906E33" w:rsidRDefault="00870816" w:rsidP="00906E33">
      <w:pPr>
        <w:spacing w:after="80"/>
        <w:rPr>
          <w:sz w:val="22"/>
          <w:szCs w:val="22"/>
        </w:rPr>
      </w:pPr>
      <w:r>
        <w:rPr>
          <w:sz w:val="22"/>
          <w:szCs w:val="22"/>
        </w:rPr>
        <w:t>B</w:t>
      </w:r>
      <w:r w:rsidR="00A8173F">
        <w:rPr>
          <w:sz w:val="22"/>
          <w:szCs w:val="22"/>
        </w:rPr>
        <w:t xml:space="preserve">.3 </w:t>
      </w:r>
      <w:r w:rsidR="001E0CDA">
        <w:rPr>
          <w:sz w:val="22"/>
          <w:szCs w:val="22"/>
        </w:rPr>
        <w:t>T</w:t>
      </w:r>
      <w:r w:rsidR="00F91DD9">
        <w:rPr>
          <w:sz w:val="22"/>
          <w:szCs w:val="22"/>
        </w:rPr>
        <w:t>he GEF A</w:t>
      </w:r>
      <w:r w:rsidR="00A8173F" w:rsidRPr="00A8173F">
        <w:rPr>
          <w:sz w:val="22"/>
          <w:szCs w:val="22"/>
        </w:rPr>
        <w:t xml:space="preserve">gency’s </w:t>
      </w:r>
      <w:r w:rsidR="001E0CDA">
        <w:rPr>
          <w:sz w:val="22"/>
          <w:szCs w:val="22"/>
        </w:rPr>
        <w:t>comparative advantage</w:t>
      </w:r>
      <w:r>
        <w:rPr>
          <w:sz w:val="22"/>
          <w:szCs w:val="22"/>
        </w:rPr>
        <w:t xml:space="preserve"> for implementing this project</w:t>
      </w:r>
      <w:r w:rsidR="00A8173F" w:rsidRPr="00A8173F">
        <w:rPr>
          <w:sz w:val="22"/>
          <w:szCs w:val="22"/>
        </w:rPr>
        <w:t>:</w:t>
      </w:r>
      <w:r w:rsidR="001E0CDA" w:rsidRPr="001E0CDA">
        <w:rPr>
          <w:sz w:val="22"/>
          <w:szCs w:val="22"/>
        </w:rPr>
        <w:t xml:space="preserve"> </w:t>
      </w:r>
    </w:p>
    <w:p w14:paraId="33FA00E1" w14:textId="77777777" w:rsidR="00A324D9" w:rsidRDefault="00A324D9" w:rsidP="00A324D9">
      <w:pPr>
        <w:spacing w:after="80"/>
        <w:rPr>
          <w:noProof/>
          <w:sz w:val="22"/>
          <w:szCs w:val="22"/>
        </w:rPr>
      </w:pPr>
      <w:r w:rsidRPr="00A324D9">
        <w:rPr>
          <w:noProof/>
          <w:sz w:val="22"/>
          <w:szCs w:val="22"/>
        </w:rPr>
        <w:lastRenderedPageBreak/>
        <w:t>UNDP is one of the lead agencies of the GEF to implement enabling activities and capacity development activities related to climate change mitigation. In Azerbaijan, UNDP has supported the country in developing its First and Second National Climate Change Communication to the UNFCCC and is currently supporting the MENR for the preparation of the Third National</w:t>
      </w:r>
      <w:r>
        <w:rPr>
          <w:noProof/>
          <w:sz w:val="22"/>
          <w:szCs w:val="22"/>
        </w:rPr>
        <w:t xml:space="preserve"> </w:t>
      </w:r>
      <w:r w:rsidRPr="00A324D9">
        <w:rPr>
          <w:noProof/>
          <w:sz w:val="22"/>
          <w:szCs w:val="22"/>
        </w:rPr>
        <w:t>Climate Change Communication.</w:t>
      </w:r>
      <w:r w:rsidR="00380EA0" w:rsidRPr="00380EA0">
        <w:rPr>
          <w:noProof/>
          <w:sz w:val="22"/>
          <w:szCs w:val="22"/>
        </w:rPr>
        <w:t xml:space="preserve"> </w:t>
      </w:r>
      <w:r w:rsidR="00380EA0" w:rsidRPr="00A324D9">
        <w:rPr>
          <w:noProof/>
          <w:sz w:val="22"/>
          <w:szCs w:val="22"/>
        </w:rPr>
        <w:t>The proposed UNDP / GEF Project is fully aligned with the Outcome 3 of the Country Program Document (2010-2015) for Azerbaijan related to environmental sustainability and has a target to assist the Government in reducing the carbon intensity of GDP.</w:t>
      </w:r>
      <w:r w:rsidR="00380EA0">
        <w:rPr>
          <w:noProof/>
          <w:sz w:val="22"/>
          <w:szCs w:val="22"/>
        </w:rPr>
        <w:t xml:space="preserve"> </w:t>
      </w:r>
      <w:r w:rsidRPr="00A324D9">
        <w:rPr>
          <w:noProof/>
          <w:sz w:val="22"/>
          <w:szCs w:val="22"/>
        </w:rPr>
        <w:t>UNDP Country Office in Azerbaijan has a strong climate change portfolio consisting of the following initiatives: Promoting Development of Sustainable Energy in Azerbaijan, Solid Waste Management Improvement Project</w:t>
      </w:r>
      <w:r w:rsidR="00C067D7">
        <w:rPr>
          <w:noProof/>
          <w:sz w:val="22"/>
          <w:szCs w:val="22"/>
        </w:rPr>
        <w:t xml:space="preserve"> and </w:t>
      </w:r>
      <w:r w:rsidRPr="00A324D9">
        <w:rPr>
          <w:noProof/>
          <w:sz w:val="22"/>
          <w:szCs w:val="22"/>
        </w:rPr>
        <w:t>Capacity Building for CDM (</w:t>
      </w:r>
      <w:r w:rsidR="00C067D7">
        <w:rPr>
          <w:noProof/>
          <w:sz w:val="22"/>
          <w:szCs w:val="22"/>
        </w:rPr>
        <w:t xml:space="preserve">both </w:t>
      </w:r>
      <w:r w:rsidRPr="00A324D9">
        <w:rPr>
          <w:noProof/>
          <w:sz w:val="22"/>
          <w:szCs w:val="22"/>
        </w:rPr>
        <w:t>completed); and a dedicated climate change team.</w:t>
      </w:r>
    </w:p>
    <w:p w14:paraId="190086A4" w14:textId="77777777" w:rsidR="00380EA0" w:rsidRPr="00A324D9" w:rsidRDefault="00B52E46" w:rsidP="006E491C">
      <w:pPr>
        <w:widowControl w:val="0"/>
        <w:autoSpaceDE w:val="0"/>
        <w:autoSpaceDN w:val="0"/>
        <w:adjustRightInd w:val="0"/>
        <w:rPr>
          <w:sz w:val="22"/>
          <w:szCs w:val="22"/>
        </w:rPr>
      </w:pPr>
      <w:r>
        <w:rPr>
          <w:noProof/>
          <w:sz w:val="22"/>
          <w:szCs w:val="22"/>
        </w:rPr>
        <w:t>Globally, this</w:t>
      </w:r>
      <w:r w:rsidR="00380EA0" w:rsidRPr="006E491C">
        <w:rPr>
          <w:noProof/>
          <w:sz w:val="22"/>
          <w:szCs w:val="22"/>
        </w:rPr>
        <w:t xml:space="preserve"> project </w:t>
      </w:r>
      <w:r w:rsidR="00FE375E" w:rsidRPr="006E491C">
        <w:rPr>
          <w:noProof/>
          <w:sz w:val="22"/>
          <w:szCs w:val="22"/>
        </w:rPr>
        <w:t xml:space="preserve">falls under UNDP Signature Program 3 “Access to New Finance Mechanisms” which is aimed at promoting new approaches to </w:t>
      </w:r>
      <w:r w:rsidR="006E491C" w:rsidRPr="006E491C">
        <w:rPr>
          <w:noProof/>
          <w:sz w:val="22"/>
          <w:szCs w:val="22"/>
        </w:rPr>
        <w:t xml:space="preserve">leveraging </w:t>
      </w:r>
      <w:r w:rsidR="00FE375E" w:rsidRPr="006E491C">
        <w:rPr>
          <w:noProof/>
          <w:sz w:val="22"/>
          <w:szCs w:val="22"/>
        </w:rPr>
        <w:t>finance</w:t>
      </w:r>
      <w:r w:rsidR="00FE375E">
        <w:rPr>
          <w:noProof/>
          <w:sz w:val="22"/>
          <w:szCs w:val="22"/>
        </w:rPr>
        <w:t xml:space="preserve"> </w:t>
      </w:r>
      <w:r w:rsidR="006E491C">
        <w:rPr>
          <w:noProof/>
          <w:sz w:val="22"/>
          <w:szCs w:val="22"/>
        </w:rPr>
        <w:t xml:space="preserve">for </w:t>
      </w:r>
      <w:r>
        <w:rPr>
          <w:noProof/>
          <w:sz w:val="22"/>
          <w:szCs w:val="22"/>
        </w:rPr>
        <w:t xml:space="preserve">climate </w:t>
      </w:r>
      <w:r w:rsidR="006E491C">
        <w:rPr>
          <w:noProof/>
          <w:sz w:val="22"/>
          <w:szCs w:val="22"/>
        </w:rPr>
        <w:t>mitigation projects and programs, such as setoral creditting, CDM PoA</w:t>
      </w:r>
      <w:r>
        <w:rPr>
          <w:noProof/>
          <w:sz w:val="22"/>
          <w:szCs w:val="22"/>
        </w:rPr>
        <w:t>s</w:t>
      </w:r>
      <w:r w:rsidR="006E491C">
        <w:rPr>
          <w:noProof/>
          <w:sz w:val="22"/>
          <w:szCs w:val="22"/>
        </w:rPr>
        <w:t xml:space="preserve"> and NAMAs</w:t>
      </w:r>
      <w:r w:rsidR="00FE375E">
        <w:rPr>
          <w:noProof/>
          <w:sz w:val="22"/>
          <w:szCs w:val="22"/>
        </w:rPr>
        <w:t xml:space="preserve">. </w:t>
      </w:r>
      <w:r>
        <w:rPr>
          <w:noProof/>
          <w:sz w:val="22"/>
          <w:szCs w:val="22"/>
        </w:rPr>
        <w:t>P</w:t>
      </w:r>
      <w:r w:rsidR="00FE375E">
        <w:rPr>
          <w:noProof/>
          <w:sz w:val="22"/>
          <w:szCs w:val="22"/>
        </w:rPr>
        <w:t xml:space="preserve">roposed project </w:t>
      </w:r>
      <w:r w:rsidR="006E491C">
        <w:rPr>
          <w:noProof/>
          <w:sz w:val="22"/>
          <w:szCs w:val="22"/>
        </w:rPr>
        <w:t xml:space="preserve">is one of a series of </w:t>
      </w:r>
      <w:r>
        <w:rPr>
          <w:noProof/>
          <w:sz w:val="22"/>
          <w:szCs w:val="22"/>
        </w:rPr>
        <w:t>similar initiatives UNDP is designing/implementing across the world focused on NAMAs in energy generation/end-use sectors</w:t>
      </w:r>
      <w:r w:rsidR="006E491C">
        <w:rPr>
          <w:noProof/>
          <w:sz w:val="22"/>
          <w:szCs w:val="22"/>
        </w:rPr>
        <w:t>, such as the project “</w:t>
      </w:r>
      <w:r w:rsidR="006E491C">
        <w:rPr>
          <w:sz w:val="22"/>
          <w:szCs w:val="22"/>
        </w:rPr>
        <w:t>Nationally Appropriate Mitigation Actions in the Energy Generation and End-Use Sectors in Peru”</w:t>
      </w:r>
      <w:r>
        <w:rPr>
          <w:sz w:val="22"/>
          <w:szCs w:val="22"/>
        </w:rPr>
        <w:t>, approved by GEF Council in 2012</w:t>
      </w:r>
      <w:r w:rsidR="00FE375E">
        <w:rPr>
          <w:noProof/>
          <w:sz w:val="22"/>
          <w:szCs w:val="22"/>
        </w:rPr>
        <w:t xml:space="preserve">. </w:t>
      </w:r>
    </w:p>
    <w:p w14:paraId="4439FF52" w14:textId="77777777" w:rsidR="00A324D9" w:rsidRPr="00A324D9" w:rsidRDefault="00A324D9" w:rsidP="00A324D9">
      <w:pPr>
        <w:spacing w:after="80"/>
        <w:rPr>
          <w:noProof/>
          <w:sz w:val="22"/>
          <w:szCs w:val="22"/>
        </w:rPr>
      </w:pPr>
    </w:p>
    <w:p w14:paraId="0004BA0B" w14:textId="77777777" w:rsidR="00AE49B5" w:rsidRPr="00BE1748" w:rsidRDefault="00A324D9" w:rsidP="00906E33">
      <w:pPr>
        <w:spacing w:after="80"/>
        <w:rPr>
          <w:sz w:val="22"/>
          <w:szCs w:val="22"/>
        </w:rPr>
      </w:pPr>
      <w:r w:rsidRPr="00A324D9">
        <w:rPr>
          <w:noProof/>
          <w:sz w:val="22"/>
          <w:szCs w:val="22"/>
        </w:rPr>
        <w:t xml:space="preserve"> </w:t>
      </w:r>
    </w:p>
    <w:p w14:paraId="5061F5E3" w14:textId="77777777" w:rsidR="00751C24" w:rsidRDefault="00751C24" w:rsidP="00906E33">
      <w:pPr>
        <w:pStyle w:val="Footer"/>
        <w:rPr>
          <w:b/>
          <w:caps/>
          <w:sz w:val="22"/>
          <w:szCs w:val="22"/>
          <w:u w:val="single"/>
        </w:rPr>
      </w:pPr>
    </w:p>
    <w:p w14:paraId="5922E0A7" w14:textId="77777777" w:rsidR="00751C24" w:rsidRPr="00751C24" w:rsidRDefault="00751C24" w:rsidP="00906E33"/>
    <w:p w14:paraId="2A11508B" w14:textId="77777777" w:rsidR="00751C24" w:rsidRPr="00751C24" w:rsidRDefault="00751C24" w:rsidP="00751C24"/>
    <w:p w14:paraId="754BB138" w14:textId="77777777" w:rsidR="00751C24" w:rsidRPr="00751C24" w:rsidRDefault="00751C24" w:rsidP="00751C24"/>
    <w:p w14:paraId="73DAB18B" w14:textId="77777777" w:rsidR="00751C24" w:rsidRPr="00751C24" w:rsidRDefault="008447B4" w:rsidP="00751C24">
      <w:r>
        <w:br w:type="page"/>
      </w:r>
    </w:p>
    <w:p w14:paraId="27DA199C" w14:textId="77777777" w:rsidR="00AE49B5" w:rsidRPr="00181E18" w:rsidRDefault="00AE49B5" w:rsidP="00181E18">
      <w:pPr>
        <w:tabs>
          <w:tab w:val="left" w:pos="1695"/>
        </w:tabs>
      </w:pPr>
      <w:r w:rsidRPr="00661A08">
        <w:rPr>
          <w:b/>
          <w:caps/>
          <w:color w:val="00B0F0"/>
          <w:sz w:val="22"/>
          <w:szCs w:val="22"/>
          <w:u w:val="single"/>
        </w:rPr>
        <w:lastRenderedPageBreak/>
        <w:t xml:space="preserve">part iii:  approval/endorsement by gef operational focal </w:t>
      </w:r>
      <w:proofErr w:type="gramStart"/>
      <w:r w:rsidRPr="00661A08">
        <w:rPr>
          <w:b/>
          <w:caps/>
          <w:color w:val="00B0F0"/>
          <w:sz w:val="22"/>
          <w:szCs w:val="22"/>
          <w:u w:val="single"/>
        </w:rPr>
        <w:t>point(</w:t>
      </w:r>
      <w:proofErr w:type="gramEnd"/>
      <w:r w:rsidRPr="00661A08">
        <w:rPr>
          <w:b/>
          <w:caps/>
          <w:color w:val="00B0F0"/>
          <w:sz w:val="22"/>
          <w:szCs w:val="22"/>
          <w:u w:val="single"/>
        </w:rPr>
        <w:t>s) and GEF agency(ies</w:t>
      </w:r>
      <w:r w:rsidRPr="007E3AFB">
        <w:rPr>
          <w:b/>
          <w:caps/>
          <w:sz w:val="22"/>
          <w:szCs w:val="22"/>
          <w:u w:val="single"/>
        </w:rPr>
        <w:t>)</w:t>
      </w:r>
    </w:p>
    <w:p w14:paraId="75152FBD" w14:textId="77777777" w:rsidR="00AE49B5" w:rsidRPr="007E3AFB" w:rsidRDefault="00AE49B5" w:rsidP="00AE49B5">
      <w:pPr>
        <w:spacing w:before="240" w:after="240"/>
        <w:ind w:left="360" w:hanging="360"/>
        <w:rPr>
          <w:sz w:val="22"/>
          <w:szCs w:val="22"/>
        </w:rPr>
      </w:pPr>
      <w:r w:rsidRPr="007E3AFB">
        <w:rPr>
          <w:b/>
          <w:bCs/>
          <w:smallCaps/>
          <w:sz w:val="22"/>
          <w:szCs w:val="22"/>
        </w:rPr>
        <w:t>A.   Record of Endorsement of GEF Operational Focal Point (S) on Behalf of the Government(S):</w:t>
      </w:r>
      <w:r w:rsidRPr="007E3AFB">
        <w:rPr>
          <w:sz w:val="22"/>
          <w:szCs w:val="22"/>
        </w:rPr>
        <w:t xml:space="preserve"> (Please attach the</w:t>
      </w:r>
      <w:r w:rsidRPr="007E3AFB">
        <w:rPr>
          <w:color w:val="0000FF"/>
          <w:sz w:val="22"/>
          <w:szCs w:val="22"/>
        </w:rPr>
        <w:t xml:space="preserve"> </w:t>
      </w:r>
      <w:r w:rsidRPr="006D0AB6">
        <w:rPr>
          <w:color w:val="0000FF"/>
          <w:sz w:val="22"/>
          <w:szCs w:val="22"/>
        </w:rPr>
        <w:t>Operational Focal Point endorsement letter(s)</w:t>
      </w:r>
      <w:r w:rsidRPr="007E3AFB">
        <w:rPr>
          <w:sz w:val="22"/>
          <w:szCs w:val="22"/>
        </w:rPr>
        <w:t xml:space="preserve"> with this template</w:t>
      </w:r>
      <w:r w:rsidR="008D3AF6">
        <w:rPr>
          <w:sz w:val="22"/>
          <w:szCs w:val="22"/>
        </w:rPr>
        <w:t xml:space="preserve">. For SGP, use this </w:t>
      </w:r>
      <w:r w:rsidR="008D3AF6" w:rsidRPr="006D0AB6">
        <w:rPr>
          <w:color w:val="0000FF"/>
          <w:sz w:val="22"/>
          <w:szCs w:val="22"/>
        </w:rPr>
        <w:t>OFP endorsement letter</w:t>
      </w:r>
      <w:r w:rsidRPr="007E3AFB">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940"/>
        <w:gridCol w:w="1877"/>
        <w:gridCol w:w="1987"/>
      </w:tblGrid>
      <w:tr w:rsidR="00AE49B5" w:rsidRPr="007E3AFB" w14:paraId="53BE956E" w14:textId="77777777" w:rsidTr="00181E18">
        <w:tc>
          <w:tcPr>
            <w:tcW w:w="1767" w:type="dxa"/>
          </w:tcPr>
          <w:p w14:paraId="48D55D18" w14:textId="77777777" w:rsidR="00AE49B5" w:rsidRPr="007E3AFB" w:rsidRDefault="00AE49B5" w:rsidP="00AE49B5">
            <w:pPr>
              <w:jc w:val="both"/>
              <w:rPr>
                <w:b/>
                <w:bCs/>
                <w:smallCaps/>
                <w:sz w:val="22"/>
                <w:szCs w:val="22"/>
              </w:rPr>
            </w:pPr>
            <w:r w:rsidRPr="007E3AFB">
              <w:rPr>
                <w:b/>
                <w:bCs/>
                <w:smallCaps/>
                <w:sz w:val="22"/>
                <w:szCs w:val="22"/>
              </w:rPr>
              <w:t>Name</w:t>
            </w:r>
          </w:p>
        </w:tc>
        <w:tc>
          <w:tcPr>
            <w:tcW w:w="2940" w:type="dxa"/>
          </w:tcPr>
          <w:p w14:paraId="3C61503D" w14:textId="77777777" w:rsidR="00AE49B5" w:rsidRPr="007E3AFB" w:rsidRDefault="00AE49B5" w:rsidP="00AE49B5">
            <w:pPr>
              <w:jc w:val="both"/>
              <w:rPr>
                <w:b/>
                <w:bCs/>
                <w:smallCaps/>
                <w:sz w:val="22"/>
                <w:szCs w:val="22"/>
              </w:rPr>
            </w:pPr>
            <w:r w:rsidRPr="007E3AFB">
              <w:rPr>
                <w:b/>
                <w:bCs/>
                <w:smallCaps/>
                <w:sz w:val="22"/>
                <w:szCs w:val="22"/>
              </w:rPr>
              <w:t>Position</w:t>
            </w:r>
          </w:p>
        </w:tc>
        <w:tc>
          <w:tcPr>
            <w:tcW w:w="1877" w:type="dxa"/>
          </w:tcPr>
          <w:p w14:paraId="7C500AEC" w14:textId="77777777" w:rsidR="00AE49B5" w:rsidRPr="007E3AFB" w:rsidRDefault="00AE49B5" w:rsidP="00AE49B5">
            <w:pPr>
              <w:jc w:val="both"/>
              <w:rPr>
                <w:b/>
                <w:bCs/>
                <w:smallCaps/>
                <w:sz w:val="22"/>
                <w:szCs w:val="22"/>
              </w:rPr>
            </w:pPr>
            <w:r w:rsidRPr="007E3AFB">
              <w:rPr>
                <w:b/>
                <w:bCs/>
                <w:smallCaps/>
                <w:sz w:val="22"/>
                <w:szCs w:val="22"/>
              </w:rPr>
              <w:t>Ministry</w:t>
            </w:r>
          </w:p>
        </w:tc>
        <w:tc>
          <w:tcPr>
            <w:tcW w:w="1987" w:type="dxa"/>
          </w:tcPr>
          <w:p w14:paraId="25C00CFA" w14:textId="77777777" w:rsidR="00AE49B5" w:rsidRPr="00523282" w:rsidRDefault="00523282" w:rsidP="00523282">
            <w:pPr>
              <w:jc w:val="center"/>
              <w:rPr>
                <w:b/>
                <w:sz w:val="22"/>
                <w:szCs w:val="22"/>
              </w:rPr>
            </w:pPr>
            <w:r w:rsidRPr="00523282">
              <w:rPr>
                <w:b/>
                <w:bCs/>
                <w:smallCaps/>
                <w:sz w:val="22"/>
                <w:szCs w:val="22"/>
              </w:rPr>
              <w:t>Date</w:t>
            </w:r>
            <w:r w:rsidR="00AE49B5" w:rsidRPr="00523282">
              <w:rPr>
                <w:b/>
                <w:sz w:val="22"/>
                <w:szCs w:val="22"/>
              </w:rPr>
              <w:t xml:space="preserve"> </w:t>
            </w:r>
            <w:r w:rsidR="00167A53" w:rsidRPr="00523282">
              <w:rPr>
                <w:i/>
                <w:sz w:val="22"/>
                <w:szCs w:val="22"/>
              </w:rPr>
              <w:t>(MM/</w:t>
            </w:r>
            <w:proofErr w:type="spellStart"/>
            <w:r w:rsidR="00167A53" w:rsidRPr="00523282">
              <w:rPr>
                <w:i/>
                <w:sz w:val="22"/>
                <w:szCs w:val="22"/>
              </w:rPr>
              <w:t>dd</w:t>
            </w:r>
            <w:proofErr w:type="spellEnd"/>
            <w:r w:rsidR="00167A53" w:rsidRPr="00523282">
              <w:rPr>
                <w:i/>
                <w:sz w:val="22"/>
                <w:szCs w:val="22"/>
              </w:rPr>
              <w:t>/</w:t>
            </w:r>
            <w:proofErr w:type="spellStart"/>
            <w:r w:rsidR="00167A53" w:rsidRPr="00523282">
              <w:rPr>
                <w:i/>
                <w:sz w:val="22"/>
                <w:szCs w:val="22"/>
              </w:rPr>
              <w:t>yyyy</w:t>
            </w:r>
            <w:proofErr w:type="spellEnd"/>
            <w:r w:rsidR="00167A53" w:rsidRPr="00523282">
              <w:rPr>
                <w:i/>
                <w:sz w:val="22"/>
                <w:szCs w:val="22"/>
              </w:rPr>
              <w:t>)</w:t>
            </w:r>
          </w:p>
        </w:tc>
      </w:tr>
      <w:tr w:rsidR="00AE49B5" w:rsidRPr="007E3AFB" w14:paraId="76F458CC" w14:textId="77777777" w:rsidTr="00181E18">
        <w:tc>
          <w:tcPr>
            <w:tcW w:w="1767" w:type="dxa"/>
          </w:tcPr>
          <w:p w14:paraId="51778928" w14:textId="77777777" w:rsidR="00AE49B5" w:rsidRPr="007E3AFB" w:rsidRDefault="00A324D9" w:rsidP="00A324D9">
            <w:pPr>
              <w:rPr>
                <w:sz w:val="22"/>
                <w:szCs w:val="22"/>
              </w:rPr>
            </w:pPr>
            <w:bookmarkStart w:id="56" w:name="name_01"/>
            <w:r>
              <w:rPr>
                <w:noProof/>
                <w:sz w:val="22"/>
                <w:szCs w:val="22"/>
              </w:rPr>
              <w:t>Husein Baghirov</w:t>
            </w:r>
            <w:bookmarkEnd w:id="56"/>
          </w:p>
        </w:tc>
        <w:tc>
          <w:tcPr>
            <w:tcW w:w="2940" w:type="dxa"/>
          </w:tcPr>
          <w:p w14:paraId="71D5A875" w14:textId="77777777" w:rsidR="00A324D9" w:rsidRDefault="00A324D9" w:rsidP="00A324D9">
            <w:pPr>
              <w:rPr>
                <w:noProof/>
                <w:sz w:val="22"/>
                <w:szCs w:val="22"/>
              </w:rPr>
            </w:pPr>
            <w:bookmarkStart w:id="57" w:name="title_01"/>
            <w:r>
              <w:rPr>
                <w:noProof/>
                <w:sz w:val="22"/>
                <w:szCs w:val="22"/>
              </w:rPr>
              <w:t>Minister</w:t>
            </w:r>
          </w:p>
          <w:p w14:paraId="2CAC840B" w14:textId="77777777" w:rsidR="00AE49B5" w:rsidRPr="007E3AFB" w:rsidRDefault="00A324D9" w:rsidP="00A324D9">
            <w:pPr>
              <w:rPr>
                <w:sz w:val="22"/>
                <w:szCs w:val="22"/>
              </w:rPr>
            </w:pPr>
            <w:r>
              <w:rPr>
                <w:noProof/>
                <w:sz w:val="22"/>
                <w:szCs w:val="22"/>
              </w:rPr>
              <w:t>GEF Operational Focal Point</w:t>
            </w:r>
            <w:bookmarkEnd w:id="57"/>
          </w:p>
        </w:tc>
        <w:tc>
          <w:tcPr>
            <w:tcW w:w="1877" w:type="dxa"/>
          </w:tcPr>
          <w:p w14:paraId="7152776E" w14:textId="77777777" w:rsidR="00AE49B5" w:rsidRPr="007E3AFB" w:rsidRDefault="00A324D9" w:rsidP="00A324D9">
            <w:pPr>
              <w:jc w:val="both"/>
              <w:rPr>
                <w:b/>
                <w:bCs/>
                <w:smallCaps/>
                <w:sz w:val="22"/>
                <w:szCs w:val="22"/>
              </w:rPr>
            </w:pPr>
            <w:bookmarkStart w:id="58" w:name="ministry_01"/>
            <w:r>
              <w:rPr>
                <w:b/>
                <w:bCs/>
                <w:smallCaps/>
                <w:noProof/>
                <w:sz w:val="22"/>
                <w:szCs w:val="22"/>
              </w:rPr>
              <w:t>Ministry of Environment and Natural Resources</w:t>
            </w:r>
            <w:bookmarkEnd w:id="58"/>
          </w:p>
        </w:tc>
        <w:tc>
          <w:tcPr>
            <w:tcW w:w="1987" w:type="dxa"/>
          </w:tcPr>
          <w:p w14:paraId="03BCA436" w14:textId="77777777" w:rsidR="00AE49B5" w:rsidRPr="007E3AFB" w:rsidRDefault="00A324D9" w:rsidP="00A324D9">
            <w:pPr>
              <w:jc w:val="both"/>
              <w:rPr>
                <w:b/>
                <w:bCs/>
                <w:smallCaps/>
                <w:sz w:val="22"/>
                <w:szCs w:val="22"/>
              </w:rPr>
            </w:pPr>
            <w:bookmarkStart w:id="59" w:name="dateOfEndorsement_01"/>
            <w:r>
              <w:rPr>
                <w:b/>
                <w:bCs/>
                <w:smallCaps/>
                <w:noProof/>
                <w:sz w:val="22"/>
                <w:szCs w:val="22"/>
              </w:rPr>
              <w:t>12/13/2012</w:t>
            </w:r>
            <w:bookmarkEnd w:id="59"/>
          </w:p>
        </w:tc>
      </w:tr>
    </w:tbl>
    <w:p w14:paraId="16FF7842" w14:textId="77777777" w:rsidR="00DC472C" w:rsidRDefault="00DC472C" w:rsidP="00AE49B5">
      <w:pPr>
        <w:pStyle w:val="Footer"/>
        <w:tabs>
          <w:tab w:val="clear" w:pos="4320"/>
          <w:tab w:val="clear" w:pos="8640"/>
        </w:tabs>
        <w:spacing w:before="240" w:after="80"/>
        <w:rPr>
          <w:b/>
          <w:smallCaps/>
          <w:sz w:val="22"/>
          <w:szCs w:val="22"/>
        </w:rPr>
        <w:sectPr w:rsidR="00DC472C" w:rsidSect="00C36EE9">
          <w:footerReference w:type="even" r:id="rId11"/>
          <w:footerReference w:type="default" r:id="rId12"/>
          <w:pgSz w:w="12240" w:h="15840" w:code="1"/>
          <w:pgMar w:top="1152" w:right="1080" w:bottom="1152" w:left="1800" w:header="720" w:footer="0" w:gutter="0"/>
          <w:cols w:space="720"/>
          <w:docGrid w:linePitch="360"/>
        </w:sectPr>
      </w:pPr>
    </w:p>
    <w:p w14:paraId="61B5300D" w14:textId="77777777" w:rsidR="00AE49B5" w:rsidRPr="007E3AFB" w:rsidRDefault="00AE49B5" w:rsidP="00AE49B5">
      <w:pPr>
        <w:pStyle w:val="Footer"/>
        <w:tabs>
          <w:tab w:val="clear" w:pos="4320"/>
          <w:tab w:val="clear" w:pos="8640"/>
        </w:tabs>
        <w:spacing w:before="240" w:after="80"/>
        <w:rPr>
          <w:b/>
          <w:smallCaps/>
          <w:sz w:val="22"/>
          <w:szCs w:val="22"/>
        </w:rPr>
      </w:pPr>
      <w:r w:rsidRPr="007E3AFB">
        <w:rPr>
          <w:b/>
          <w:smallCaps/>
          <w:sz w:val="22"/>
          <w:szCs w:val="22"/>
        </w:rPr>
        <w:lastRenderedPageBreak/>
        <w:t xml:space="preserve">B.  GEF </w:t>
      </w:r>
      <w:proofErr w:type="gramStart"/>
      <w:r w:rsidRPr="007E3AFB">
        <w:rPr>
          <w:b/>
          <w:smallCaps/>
          <w:sz w:val="22"/>
          <w:szCs w:val="22"/>
        </w:rPr>
        <w:t>Agency(</w:t>
      </w:r>
      <w:proofErr w:type="gramEnd"/>
      <w:r w:rsidRPr="007E3AFB">
        <w:rPr>
          <w:b/>
          <w:smallCaps/>
          <w:sz w:val="22"/>
          <w:szCs w:val="22"/>
        </w:rPr>
        <w:t>ies) Certification</w:t>
      </w:r>
      <w:r w:rsidRPr="007E3AFB">
        <w:rPr>
          <w:b/>
          <w:smallCaps/>
          <w:sz w:val="22"/>
          <w:szCs w:val="22"/>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133"/>
        <w:gridCol w:w="1462"/>
        <w:gridCol w:w="1341"/>
        <w:gridCol w:w="1194"/>
        <w:gridCol w:w="1996"/>
      </w:tblGrid>
      <w:tr w:rsidR="00AE49B5" w:rsidRPr="007E3AFB" w14:paraId="6EDEC213" w14:textId="77777777" w:rsidTr="00A324D9">
        <w:trPr>
          <w:cantSplit/>
          <w:trHeight w:val="377"/>
        </w:trPr>
        <w:tc>
          <w:tcPr>
            <w:tcW w:w="8571" w:type="dxa"/>
            <w:gridSpan w:val="6"/>
          </w:tcPr>
          <w:p w14:paraId="7F0145C6" w14:textId="77777777" w:rsidR="00AE49B5" w:rsidRPr="007E3AFB" w:rsidRDefault="00AE49B5" w:rsidP="00AE49B5">
            <w:pPr>
              <w:spacing w:after="120"/>
              <w:rPr>
                <w:b/>
                <w:sz w:val="22"/>
                <w:szCs w:val="22"/>
              </w:rPr>
            </w:pPr>
            <w:r w:rsidRPr="007E3AFB">
              <w:rPr>
                <w:b/>
                <w:sz w:val="22"/>
                <w:szCs w:val="22"/>
              </w:rPr>
              <w:t>This request has been prepared in accordance with GEF/LDCF/SCCF</w:t>
            </w:r>
            <w:r w:rsidR="00E31B0D" w:rsidRPr="003775AD">
              <w:rPr>
                <w:b/>
                <w:sz w:val="22"/>
                <w:szCs w:val="22"/>
              </w:rPr>
              <w:t>/NPIF</w:t>
            </w:r>
            <w:r w:rsidRPr="007E3AFB">
              <w:rPr>
                <w:b/>
                <w:sz w:val="22"/>
                <w:szCs w:val="22"/>
              </w:rPr>
              <w:t xml:space="preserve"> policies and procedures and meets the GEF/LDCF/SCCF</w:t>
            </w:r>
            <w:r w:rsidR="00E31B0D" w:rsidRPr="003775AD">
              <w:rPr>
                <w:b/>
                <w:sz w:val="22"/>
                <w:szCs w:val="22"/>
              </w:rPr>
              <w:t>/NPIF</w:t>
            </w:r>
            <w:r w:rsidRPr="007E3AFB">
              <w:rPr>
                <w:b/>
                <w:sz w:val="22"/>
                <w:szCs w:val="22"/>
              </w:rPr>
              <w:t xml:space="preserve"> criteria for project identification and preparation.</w:t>
            </w:r>
          </w:p>
        </w:tc>
      </w:tr>
      <w:tr w:rsidR="00A324D9" w:rsidRPr="007E3AFB" w14:paraId="3A4EE888" w14:textId="77777777" w:rsidTr="00A324D9">
        <w:tblPrEx>
          <w:tblLook w:val="01E0" w:firstRow="1" w:lastRow="1" w:firstColumn="1" w:lastColumn="1" w:noHBand="0" w:noVBand="0"/>
        </w:tblPrEx>
        <w:tc>
          <w:tcPr>
            <w:tcW w:w="1445" w:type="dxa"/>
          </w:tcPr>
          <w:p w14:paraId="72C84A8F" w14:textId="77777777" w:rsidR="00AE49B5" w:rsidRPr="007E3AFB" w:rsidRDefault="00AE49B5" w:rsidP="00AE49B5">
            <w:pPr>
              <w:jc w:val="center"/>
              <w:rPr>
                <w:b/>
                <w:sz w:val="22"/>
                <w:szCs w:val="22"/>
              </w:rPr>
            </w:pPr>
            <w:r w:rsidRPr="007E3AFB">
              <w:rPr>
                <w:b/>
                <w:sz w:val="22"/>
                <w:szCs w:val="22"/>
              </w:rPr>
              <w:t>Agency Coordinator, Agency name</w:t>
            </w:r>
          </w:p>
        </w:tc>
        <w:tc>
          <w:tcPr>
            <w:tcW w:w="1133" w:type="dxa"/>
          </w:tcPr>
          <w:p w14:paraId="08E1534D" w14:textId="77777777" w:rsidR="00AE49B5" w:rsidRPr="007E3AFB" w:rsidRDefault="00AE49B5" w:rsidP="00AE49B5">
            <w:pPr>
              <w:jc w:val="center"/>
              <w:rPr>
                <w:b/>
                <w:sz w:val="22"/>
                <w:szCs w:val="22"/>
              </w:rPr>
            </w:pPr>
          </w:p>
          <w:p w14:paraId="4745747C" w14:textId="77777777" w:rsidR="00AE49B5" w:rsidRPr="007E3AFB" w:rsidRDefault="00AE49B5" w:rsidP="00AE49B5">
            <w:pPr>
              <w:jc w:val="center"/>
              <w:rPr>
                <w:b/>
                <w:sz w:val="22"/>
                <w:szCs w:val="22"/>
              </w:rPr>
            </w:pPr>
            <w:r w:rsidRPr="007E3AFB">
              <w:rPr>
                <w:b/>
                <w:sz w:val="22"/>
                <w:szCs w:val="22"/>
              </w:rPr>
              <w:t>Signature</w:t>
            </w:r>
          </w:p>
        </w:tc>
        <w:tc>
          <w:tcPr>
            <w:tcW w:w="1462" w:type="dxa"/>
          </w:tcPr>
          <w:p w14:paraId="4E9285C6" w14:textId="77777777" w:rsidR="00AE49B5" w:rsidRPr="007E3AFB" w:rsidRDefault="000E358B" w:rsidP="00AE49B5">
            <w:pPr>
              <w:jc w:val="center"/>
              <w:rPr>
                <w:b/>
                <w:sz w:val="22"/>
                <w:szCs w:val="22"/>
              </w:rPr>
            </w:pPr>
            <w:r w:rsidRPr="00523282">
              <w:rPr>
                <w:b/>
                <w:bCs/>
                <w:smallCaps/>
                <w:sz w:val="22"/>
                <w:szCs w:val="22"/>
              </w:rPr>
              <w:t>Date</w:t>
            </w:r>
            <w:r w:rsidRPr="00523282">
              <w:rPr>
                <w:b/>
                <w:sz w:val="22"/>
                <w:szCs w:val="22"/>
              </w:rPr>
              <w:t xml:space="preserve"> </w:t>
            </w:r>
            <w:r w:rsidRPr="00523282">
              <w:rPr>
                <w:i/>
                <w:sz w:val="22"/>
                <w:szCs w:val="22"/>
              </w:rPr>
              <w:t>(MM/</w:t>
            </w:r>
            <w:proofErr w:type="spellStart"/>
            <w:r w:rsidRPr="00523282">
              <w:rPr>
                <w:i/>
                <w:sz w:val="22"/>
                <w:szCs w:val="22"/>
              </w:rPr>
              <w:t>dd</w:t>
            </w:r>
            <w:proofErr w:type="spellEnd"/>
            <w:r w:rsidRPr="00523282">
              <w:rPr>
                <w:i/>
                <w:sz w:val="22"/>
                <w:szCs w:val="22"/>
              </w:rPr>
              <w:t>/</w:t>
            </w:r>
            <w:proofErr w:type="spellStart"/>
            <w:r w:rsidRPr="00523282">
              <w:rPr>
                <w:i/>
                <w:sz w:val="22"/>
                <w:szCs w:val="22"/>
              </w:rPr>
              <w:t>yyyy</w:t>
            </w:r>
            <w:proofErr w:type="spellEnd"/>
            <w:r>
              <w:rPr>
                <w:i/>
                <w:sz w:val="22"/>
                <w:szCs w:val="22"/>
              </w:rPr>
              <w:t>)</w:t>
            </w:r>
          </w:p>
        </w:tc>
        <w:tc>
          <w:tcPr>
            <w:tcW w:w="1341" w:type="dxa"/>
          </w:tcPr>
          <w:p w14:paraId="6622D6C4" w14:textId="77777777" w:rsidR="00AE49B5" w:rsidRPr="007E3AFB" w:rsidRDefault="00AE49B5" w:rsidP="00AE49B5">
            <w:pPr>
              <w:jc w:val="center"/>
              <w:rPr>
                <w:b/>
                <w:sz w:val="22"/>
                <w:szCs w:val="22"/>
              </w:rPr>
            </w:pPr>
            <w:r w:rsidRPr="007E3AFB">
              <w:rPr>
                <w:b/>
                <w:sz w:val="22"/>
                <w:szCs w:val="22"/>
              </w:rPr>
              <w:t>Project Contact Person</w:t>
            </w:r>
          </w:p>
        </w:tc>
        <w:tc>
          <w:tcPr>
            <w:tcW w:w="1194" w:type="dxa"/>
          </w:tcPr>
          <w:p w14:paraId="6196153D" w14:textId="77777777" w:rsidR="00AE49B5" w:rsidRPr="007E3AFB" w:rsidRDefault="00AE49B5" w:rsidP="00AE49B5">
            <w:pPr>
              <w:jc w:val="center"/>
              <w:rPr>
                <w:b/>
                <w:sz w:val="22"/>
                <w:szCs w:val="22"/>
              </w:rPr>
            </w:pPr>
          </w:p>
          <w:p w14:paraId="55B99E8C" w14:textId="77777777" w:rsidR="00AE49B5" w:rsidRPr="007E3AFB" w:rsidRDefault="00AE49B5" w:rsidP="00AE49B5">
            <w:pPr>
              <w:jc w:val="center"/>
              <w:rPr>
                <w:b/>
                <w:sz w:val="22"/>
                <w:szCs w:val="22"/>
              </w:rPr>
            </w:pPr>
            <w:r w:rsidRPr="007E3AFB">
              <w:rPr>
                <w:b/>
                <w:sz w:val="22"/>
                <w:szCs w:val="22"/>
              </w:rPr>
              <w:t>Telephone</w:t>
            </w:r>
          </w:p>
        </w:tc>
        <w:tc>
          <w:tcPr>
            <w:tcW w:w="1996" w:type="dxa"/>
          </w:tcPr>
          <w:p w14:paraId="4D045573" w14:textId="77777777" w:rsidR="00AE49B5" w:rsidRPr="007E3AFB" w:rsidRDefault="00AE49B5" w:rsidP="00AE49B5">
            <w:pPr>
              <w:jc w:val="center"/>
              <w:rPr>
                <w:b/>
                <w:sz w:val="22"/>
                <w:szCs w:val="22"/>
              </w:rPr>
            </w:pPr>
            <w:r w:rsidRPr="007E3AFB">
              <w:rPr>
                <w:b/>
                <w:sz w:val="22"/>
                <w:szCs w:val="22"/>
              </w:rPr>
              <w:t>Email Address</w:t>
            </w:r>
          </w:p>
        </w:tc>
      </w:tr>
      <w:tr w:rsidR="00A324D9" w:rsidRPr="007E3AFB" w14:paraId="12FFC651" w14:textId="77777777" w:rsidTr="00A324D9">
        <w:tblPrEx>
          <w:tblLook w:val="01E0" w:firstRow="1" w:lastRow="1" w:firstColumn="1" w:lastColumn="1" w:noHBand="0" w:noVBand="0"/>
        </w:tblPrEx>
        <w:tc>
          <w:tcPr>
            <w:tcW w:w="1445" w:type="dxa"/>
          </w:tcPr>
          <w:p w14:paraId="003B7563" w14:textId="77777777" w:rsidR="005B602A" w:rsidRDefault="005B602A" w:rsidP="005B602A">
            <w:pPr>
              <w:jc w:val="center"/>
            </w:pPr>
            <w:r>
              <w:t>Andrew Hudson</w:t>
            </w:r>
          </w:p>
          <w:p w14:paraId="0413117D" w14:textId="77777777" w:rsidR="005B602A" w:rsidRPr="006B6F77" w:rsidRDefault="005B602A" w:rsidP="005B602A">
            <w:pPr>
              <w:jc w:val="center"/>
            </w:pPr>
            <w:r>
              <w:t xml:space="preserve">UNDP/ GEF </w:t>
            </w:r>
            <w:r w:rsidRPr="006B6F77">
              <w:t>Officer-in-Charge</w:t>
            </w:r>
          </w:p>
          <w:p w14:paraId="6A929691" w14:textId="77777777" w:rsidR="00AE49B5" w:rsidRPr="007E3AFB" w:rsidRDefault="00AE49B5" w:rsidP="00AE49B5">
            <w:pPr>
              <w:jc w:val="center"/>
              <w:rPr>
                <w:sz w:val="22"/>
                <w:szCs w:val="22"/>
              </w:rPr>
            </w:pPr>
          </w:p>
        </w:tc>
        <w:tc>
          <w:tcPr>
            <w:tcW w:w="1133" w:type="dxa"/>
          </w:tcPr>
          <w:p w14:paraId="14A71CB2" w14:textId="77777777" w:rsidR="00AE49B5" w:rsidRPr="007E3AFB" w:rsidRDefault="00A237F8" w:rsidP="00AE49B5">
            <w:pPr>
              <w:jc w:val="center"/>
              <w:rPr>
                <w:sz w:val="22"/>
                <w:szCs w:val="22"/>
              </w:rPr>
            </w:pPr>
            <w:r>
              <w:rPr>
                <w:sz w:val="22"/>
                <w:szCs w:val="22"/>
              </w:rPr>
              <w:br/>
            </w:r>
            <w:r w:rsidR="005B602A">
              <w:rPr>
                <w:b/>
                <w:noProof/>
              </w:rPr>
              <w:drawing>
                <wp:inline distT="0" distB="0" distL="0" distR="0" wp14:anchorId="1EA8E968" wp14:editId="510F04BC">
                  <wp:extent cx="708025" cy="18880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18918" cy="191712"/>
                          </a:xfrm>
                          <a:prstGeom prst="rect">
                            <a:avLst/>
                          </a:prstGeom>
                          <a:noFill/>
                          <a:ln w="9525">
                            <a:noFill/>
                            <a:miter lim="800000"/>
                            <a:headEnd/>
                            <a:tailEnd/>
                          </a:ln>
                        </pic:spPr>
                      </pic:pic>
                    </a:graphicData>
                  </a:graphic>
                </wp:inline>
              </w:drawing>
            </w:r>
          </w:p>
        </w:tc>
        <w:tc>
          <w:tcPr>
            <w:tcW w:w="1462" w:type="dxa"/>
          </w:tcPr>
          <w:p w14:paraId="6A048817" w14:textId="6E559B3B" w:rsidR="00AE49B5" w:rsidRPr="007E3AFB" w:rsidRDefault="005B602A" w:rsidP="003A118D">
            <w:pPr>
              <w:jc w:val="center"/>
              <w:rPr>
                <w:sz w:val="22"/>
                <w:szCs w:val="22"/>
              </w:rPr>
            </w:pPr>
            <w:bookmarkStart w:id="60" w:name="signingDate_01"/>
            <w:r>
              <w:rPr>
                <w:noProof/>
                <w:sz w:val="22"/>
                <w:szCs w:val="22"/>
              </w:rPr>
              <w:t>0</w:t>
            </w:r>
            <w:r w:rsidR="003A118D">
              <w:rPr>
                <w:noProof/>
                <w:sz w:val="22"/>
                <w:szCs w:val="22"/>
              </w:rPr>
              <w:t>3</w:t>
            </w:r>
            <w:r>
              <w:rPr>
                <w:noProof/>
                <w:sz w:val="22"/>
                <w:szCs w:val="22"/>
              </w:rPr>
              <w:t>/1</w:t>
            </w:r>
            <w:r w:rsidR="003A118D">
              <w:rPr>
                <w:noProof/>
                <w:sz w:val="22"/>
                <w:szCs w:val="22"/>
              </w:rPr>
              <w:t>5</w:t>
            </w:r>
            <w:r>
              <w:rPr>
                <w:noProof/>
                <w:sz w:val="22"/>
                <w:szCs w:val="22"/>
              </w:rPr>
              <w:t>/2013</w:t>
            </w:r>
            <w:r w:rsidR="006D0AB6">
              <w:rPr>
                <w:noProof/>
                <w:sz w:val="22"/>
                <w:szCs w:val="22"/>
              </w:rPr>
              <w:t xml:space="preserve">     </w:t>
            </w:r>
            <w:bookmarkEnd w:id="60"/>
          </w:p>
        </w:tc>
        <w:tc>
          <w:tcPr>
            <w:tcW w:w="1341" w:type="dxa"/>
          </w:tcPr>
          <w:p w14:paraId="4AE5D9BC" w14:textId="77777777" w:rsidR="00AE49B5" w:rsidRPr="007E3AFB" w:rsidRDefault="00A324D9" w:rsidP="00AE49B5">
            <w:pPr>
              <w:jc w:val="center"/>
              <w:rPr>
                <w:sz w:val="22"/>
                <w:szCs w:val="22"/>
              </w:rPr>
            </w:pPr>
            <w:r>
              <w:rPr>
                <w:sz w:val="22"/>
                <w:szCs w:val="22"/>
              </w:rPr>
              <w:t>Marina Olshanskaya</w:t>
            </w:r>
            <w:r w:rsidR="00634DE6">
              <w:rPr>
                <w:sz w:val="22"/>
                <w:szCs w:val="22"/>
              </w:rPr>
              <w:t xml:space="preserve"> Regional Technical Advisor, EITT</w:t>
            </w:r>
          </w:p>
        </w:tc>
        <w:tc>
          <w:tcPr>
            <w:tcW w:w="1194" w:type="dxa"/>
          </w:tcPr>
          <w:p w14:paraId="6EDED30B" w14:textId="77777777" w:rsidR="00AE49B5" w:rsidRPr="007E3AFB" w:rsidRDefault="00A324D9" w:rsidP="00AE49B5">
            <w:pPr>
              <w:jc w:val="center"/>
              <w:rPr>
                <w:sz w:val="22"/>
                <w:szCs w:val="22"/>
              </w:rPr>
            </w:pPr>
            <w:r>
              <w:rPr>
                <w:sz w:val="22"/>
                <w:szCs w:val="22"/>
              </w:rPr>
              <w:t>+421-907-840-152</w:t>
            </w:r>
          </w:p>
        </w:tc>
        <w:tc>
          <w:tcPr>
            <w:tcW w:w="1996" w:type="dxa"/>
          </w:tcPr>
          <w:p w14:paraId="75532D5A" w14:textId="77777777" w:rsidR="00AE49B5" w:rsidRPr="007E3AFB" w:rsidRDefault="00A324D9" w:rsidP="00AE49B5">
            <w:pPr>
              <w:jc w:val="center"/>
              <w:rPr>
                <w:sz w:val="22"/>
                <w:szCs w:val="22"/>
              </w:rPr>
            </w:pPr>
            <w:r>
              <w:rPr>
                <w:sz w:val="22"/>
                <w:szCs w:val="22"/>
              </w:rPr>
              <w:t>marina.olshanskaya@undp.org</w:t>
            </w:r>
          </w:p>
        </w:tc>
      </w:tr>
    </w:tbl>
    <w:p w14:paraId="7967C533" w14:textId="77777777" w:rsidR="00AE49B5" w:rsidRPr="007E3AFB" w:rsidRDefault="00AE49B5" w:rsidP="00AE49B5">
      <w:pPr>
        <w:jc w:val="center"/>
        <w:rPr>
          <w:sz w:val="22"/>
          <w:szCs w:val="22"/>
        </w:rPr>
      </w:pPr>
    </w:p>
    <w:p w14:paraId="1D052313" w14:textId="77777777" w:rsidR="00AE49B5" w:rsidRPr="007E3AFB" w:rsidRDefault="00AE49B5" w:rsidP="00AE49B5">
      <w:pPr>
        <w:rPr>
          <w:sz w:val="22"/>
          <w:szCs w:val="22"/>
        </w:rPr>
      </w:pPr>
    </w:p>
    <w:p w14:paraId="691F58F5" w14:textId="77777777" w:rsidR="00AE49B5" w:rsidRPr="007E3AFB" w:rsidRDefault="00AE49B5" w:rsidP="00AE49B5">
      <w:pPr>
        <w:ind w:right="1200"/>
        <w:rPr>
          <w:vanish/>
          <w:sz w:val="22"/>
          <w:szCs w:val="22"/>
        </w:rPr>
      </w:pPr>
    </w:p>
    <w:p w14:paraId="72A48CA9" w14:textId="77777777" w:rsidR="00AE49B5" w:rsidRPr="007E3AFB" w:rsidRDefault="00AE49B5" w:rsidP="00930EA6">
      <w:pPr>
        <w:pStyle w:val="Footer"/>
        <w:tabs>
          <w:tab w:val="clear" w:pos="4320"/>
          <w:tab w:val="clear" w:pos="8640"/>
        </w:tabs>
        <w:ind w:left="-90"/>
        <w:rPr>
          <w:vanish/>
          <w:sz w:val="20"/>
          <w:szCs w:val="20"/>
        </w:rPr>
      </w:pPr>
    </w:p>
    <w:sectPr w:rsidR="00AE49B5" w:rsidRPr="007E3AFB" w:rsidSect="00DC472C">
      <w:type w:val="continuous"/>
      <w:pgSz w:w="12240" w:h="15840" w:code="1"/>
      <w:pgMar w:top="1152" w:right="1080" w:bottom="1152" w:left="1800" w:header="72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E0360" w14:textId="77777777" w:rsidR="00581E39" w:rsidRDefault="00581E39">
      <w:r>
        <w:separator/>
      </w:r>
    </w:p>
  </w:endnote>
  <w:endnote w:type="continuationSeparator" w:id="0">
    <w:p w14:paraId="3ACD0D0B" w14:textId="77777777" w:rsidR="00581E39" w:rsidRDefault="0058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50E5" w14:textId="77777777" w:rsidR="00E35CD7" w:rsidRDefault="00E35CD7" w:rsidP="00991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E3AA8" w14:textId="77777777" w:rsidR="00E35CD7" w:rsidRDefault="00E35CD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BCB4" w14:textId="77777777" w:rsidR="00E35CD7" w:rsidRDefault="00E35CD7" w:rsidP="0099128C">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42017E">
      <w:rPr>
        <w:rStyle w:val="PageNumber"/>
        <w:noProof/>
        <w:sz w:val="20"/>
      </w:rPr>
      <w:t>1</w:t>
    </w:r>
    <w:r>
      <w:rPr>
        <w:rStyle w:val="PageNumber"/>
        <w:sz w:val="20"/>
      </w:rPr>
      <w:fldChar w:fldCharType="end"/>
    </w:r>
  </w:p>
  <w:p w14:paraId="27CD11BF" w14:textId="77777777" w:rsidR="00E35CD7" w:rsidRDefault="00E35CD7" w:rsidP="002A0791">
    <w:pPr>
      <w:pStyle w:val="Footer"/>
      <w:ind w:left="-540" w:right="360"/>
      <w:rPr>
        <w:color w:val="999999"/>
        <w:sz w:val="16"/>
      </w:rPr>
    </w:pPr>
    <w:r>
      <w:rPr>
        <w:color w:val="999999"/>
        <w:sz w:val="16"/>
      </w:rPr>
      <w:t xml:space="preserve">                      </w:t>
    </w:r>
  </w:p>
  <w:p w14:paraId="012E8363" w14:textId="77777777" w:rsidR="00E35CD7" w:rsidRPr="00462B8F" w:rsidRDefault="00E35CD7" w:rsidP="00A63AFB">
    <w:pPr>
      <w:pStyle w:val="Footer"/>
      <w:ind w:left="-540"/>
      <w:rPr>
        <w:color w:val="999999"/>
        <w:sz w:val="16"/>
      </w:rPr>
    </w:pPr>
    <w:r>
      <w:rPr>
        <w:color w:val="999999"/>
        <w:sz w:val="16"/>
      </w:rPr>
      <w:t>GEF-5 PIF Template-December</w:t>
    </w:r>
    <w:r>
      <w:rPr>
        <w:b/>
        <w:color w:val="999999"/>
        <w:sz w:val="16"/>
      </w:rPr>
      <w:t xml:space="preserve"> 27, 2012</w:t>
    </w:r>
  </w:p>
  <w:p w14:paraId="70732CE0" w14:textId="77777777" w:rsidR="00E35CD7" w:rsidRDefault="00E35CD7" w:rsidP="00A63AFB">
    <w:pPr>
      <w:pStyle w:val="Footer"/>
      <w:ind w:left="-540"/>
    </w:pPr>
  </w:p>
  <w:p w14:paraId="0D8D8B42" w14:textId="77777777" w:rsidR="00E35CD7" w:rsidRDefault="00E35C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C1FC7" w14:textId="77777777" w:rsidR="00581E39" w:rsidRDefault="00581E39">
      <w:r>
        <w:separator/>
      </w:r>
    </w:p>
  </w:footnote>
  <w:footnote w:type="continuationSeparator" w:id="0">
    <w:p w14:paraId="2744F3EA" w14:textId="77777777" w:rsidR="00581E39" w:rsidRDefault="00581E39">
      <w:r>
        <w:continuationSeparator/>
      </w:r>
    </w:p>
  </w:footnote>
  <w:footnote w:id="1">
    <w:p w14:paraId="41A69C5E" w14:textId="77777777" w:rsidR="00E35CD7" w:rsidRPr="00C64A2C" w:rsidRDefault="00E35CD7" w:rsidP="007D2C99">
      <w:pPr>
        <w:pStyle w:val="FootnoteText"/>
        <w:ind w:left="-720"/>
        <w:rPr>
          <w:sz w:val="18"/>
          <w:szCs w:val="18"/>
        </w:rPr>
      </w:pPr>
      <w:r w:rsidRPr="00C64A2C">
        <w:rPr>
          <w:rStyle w:val="FootnoteReference"/>
          <w:sz w:val="18"/>
          <w:szCs w:val="18"/>
        </w:rPr>
        <w:footnoteRef/>
      </w:r>
      <w:r w:rsidRPr="00C64A2C">
        <w:rPr>
          <w:sz w:val="18"/>
          <w:szCs w:val="18"/>
        </w:rPr>
        <w:t xml:space="preserve">   </w:t>
      </w:r>
      <w:r w:rsidRPr="005A41F8">
        <w:rPr>
          <w:sz w:val="16"/>
          <w:szCs w:val="16"/>
        </w:rPr>
        <w:t xml:space="preserve"> </w:t>
      </w:r>
      <w:r w:rsidRPr="005A41F8">
        <w:rPr>
          <w:color w:val="000000"/>
          <w:sz w:val="16"/>
          <w:szCs w:val="16"/>
        </w:rPr>
        <w:t>Project ID number will be assigned by GEFSEC</w:t>
      </w:r>
      <w:r w:rsidRPr="00C64A2C">
        <w:rPr>
          <w:color w:val="000000"/>
          <w:sz w:val="18"/>
          <w:szCs w:val="18"/>
        </w:rPr>
        <w:t>.</w:t>
      </w:r>
    </w:p>
  </w:footnote>
  <w:footnote w:id="2">
    <w:p w14:paraId="2FC99B50" w14:textId="77777777" w:rsidR="00E35CD7" w:rsidRPr="00CD005B" w:rsidRDefault="00E35CD7" w:rsidP="007D2C99">
      <w:pPr>
        <w:pStyle w:val="FootnoteText"/>
        <w:ind w:left="-720"/>
        <w:rPr>
          <w:sz w:val="18"/>
          <w:szCs w:val="18"/>
        </w:rPr>
      </w:pPr>
      <w:r>
        <w:rPr>
          <w:rStyle w:val="FootnoteReference"/>
        </w:rPr>
        <w:footnoteRef/>
      </w:r>
      <w:r>
        <w:t xml:space="preserve">   </w:t>
      </w:r>
      <w:r w:rsidRPr="00CD005B">
        <w:rPr>
          <w:sz w:val="18"/>
          <w:szCs w:val="18"/>
        </w:rPr>
        <w:t xml:space="preserve">Refer to the reference attached on the </w:t>
      </w:r>
      <w:hyperlink r:id="rId1" w:history="1">
        <w:r w:rsidRPr="002F5BEB">
          <w:rPr>
            <w:rStyle w:val="Hyperlink"/>
            <w:sz w:val="18"/>
            <w:szCs w:val="18"/>
          </w:rPr>
          <w:t>Focal Area Results Framework</w:t>
        </w:r>
      </w:hyperlink>
      <w:r w:rsidRPr="00CD005B">
        <w:rPr>
          <w:sz w:val="18"/>
          <w:szCs w:val="18"/>
        </w:rPr>
        <w:t xml:space="preserve"> when </w:t>
      </w:r>
      <w:r>
        <w:rPr>
          <w:sz w:val="18"/>
          <w:szCs w:val="18"/>
        </w:rPr>
        <w:t xml:space="preserve">completing Table </w:t>
      </w:r>
      <w:r w:rsidRPr="00CD005B">
        <w:rPr>
          <w:sz w:val="18"/>
          <w:szCs w:val="18"/>
        </w:rPr>
        <w:t>A.</w:t>
      </w:r>
    </w:p>
  </w:footnote>
  <w:footnote w:id="3">
    <w:p w14:paraId="64582BBE" w14:textId="77777777" w:rsidR="00E35CD7" w:rsidRDefault="00E35CD7" w:rsidP="00693747">
      <w:pPr>
        <w:pStyle w:val="FootnoteText"/>
        <w:ind w:left="-450" w:hanging="270"/>
      </w:pPr>
      <w:r>
        <w:rPr>
          <w:rStyle w:val="FootnoteReference"/>
        </w:rPr>
        <w:footnoteRef/>
      </w:r>
      <w:r>
        <w:t xml:space="preserve">   </w:t>
      </w:r>
      <w:r w:rsidRPr="00F97282">
        <w:rPr>
          <w:color w:val="000000"/>
          <w:sz w:val="16"/>
          <w:szCs w:val="16"/>
        </w:rPr>
        <w:t>TA includes capacity building, and research and development</w:t>
      </w:r>
      <w:r>
        <w:t>.</w:t>
      </w:r>
    </w:p>
  </w:footnote>
  <w:footnote w:id="4">
    <w:p w14:paraId="6B7BF00D" w14:textId="0ACE2EB8" w:rsidR="00E35CD7" w:rsidRPr="00F97282" w:rsidRDefault="00E35CD7" w:rsidP="00F97282">
      <w:pPr>
        <w:pStyle w:val="FootnoteText"/>
        <w:ind w:left="-426" w:hanging="283"/>
        <w:rPr>
          <w:color w:val="000000"/>
          <w:sz w:val="16"/>
          <w:szCs w:val="16"/>
        </w:rPr>
      </w:pPr>
      <w:r>
        <w:rPr>
          <w:rStyle w:val="FootnoteReference"/>
        </w:rPr>
        <w:footnoteRef/>
      </w:r>
      <w:r>
        <w:t xml:space="preserve">    </w:t>
      </w:r>
      <w:r w:rsidRPr="00F97282">
        <w:rPr>
          <w:color w:val="000000"/>
          <w:sz w:val="16"/>
          <w:szCs w:val="16"/>
          <w:highlight w:val="yellow"/>
        </w:rPr>
        <w:t xml:space="preserve">Energy (electricity and heat) generation in Azerbaijan is dominated by thermal power and heat stations run on oil and gas. Therefore this sector is among the largest </w:t>
      </w:r>
      <w:proofErr w:type="spellStart"/>
      <w:r w:rsidRPr="00F97282">
        <w:rPr>
          <w:color w:val="000000"/>
          <w:sz w:val="16"/>
          <w:szCs w:val="16"/>
          <w:highlight w:val="yellow"/>
        </w:rPr>
        <w:t>oil&amp;gas</w:t>
      </w:r>
      <w:proofErr w:type="spellEnd"/>
      <w:r w:rsidRPr="00F97282">
        <w:rPr>
          <w:color w:val="000000"/>
          <w:sz w:val="16"/>
          <w:szCs w:val="16"/>
          <w:highlight w:val="yellow"/>
        </w:rPr>
        <w:t xml:space="preserve"> users and is prioritized for GHG emission analysis and identification of NAMAs</w:t>
      </w:r>
    </w:p>
  </w:footnote>
  <w:footnote w:id="5">
    <w:p w14:paraId="25931681" w14:textId="77777777" w:rsidR="00E35CD7" w:rsidRDefault="00E35CD7" w:rsidP="00693747">
      <w:pPr>
        <w:pStyle w:val="FootnoteText"/>
        <w:ind w:left="-720"/>
      </w:pPr>
      <w:r>
        <w:rPr>
          <w:rStyle w:val="FootnoteReference"/>
        </w:rPr>
        <w:footnoteRef/>
      </w:r>
      <w:r>
        <w:t xml:space="preserve">   To be calculated as percent of subtotal.</w:t>
      </w:r>
    </w:p>
  </w:footnote>
  <w:footnote w:id="6">
    <w:p w14:paraId="16D31DB8" w14:textId="77777777" w:rsidR="00E35CD7" w:rsidRPr="007F44AA" w:rsidRDefault="00E35CD7" w:rsidP="007F44AA">
      <w:pPr>
        <w:pStyle w:val="Footer"/>
        <w:rPr>
          <w:sz w:val="22"/>
          <w:szCs w:val="22"/>
        </w:rPr>
      </w:pPr>
      <w:r>
        <w:rPr>
          <w:rStyle w:val="FootnoteReference"/>
        </w:rPr>
        <w:footnoteRef/>
      </w:r>
      <w:r>
        <w:t xml:space="preserve">  </w:t>
      </w:r>
      <w:r w:rsidRPr="007F44AA">
        <w:rPr>
          <w:sz w:val="20"/>
          <w:szCs w:val="20"/>
        </w:rPr>
        <w:t>On an exceptional basis, PPG amount may differ upon detailed discussion and justification with the GEFSEC.</w:t>
      </w:r>
    </w:p>
  </w:footnote>
  <w:footnote w:id="7">
    <w:p w14:paraId="3C27E0EE" w14:textId="77777777" w:rsidR="00E35CD7" w:rsidRDefault="00E35CD7">
      <w:pPr>
        <w:pStyle w:val="FootnoteText"/>
      </w:pPr>
      <w:r>
        <w:rPr>
          <w:rStyle w:val="FootnoteReference"/>
        </w:rPr>
        <w:footnoteRef/>
      </w:r>
      <w:r>
        <w:t xml:space="preserve">   PPG fee percentage follows the percentage of the GEF Project Grant amount requested.</w:t>
      </w:r>
    </w:p>
  </w:footnote>
  <w:footnote w:id="8">
    <w:p w14:paraId="60ECD011" w14:textId="77777777" w:rsidR="00E35CD7" w:rsidRPr="00F01B20" w:rsidRDefault="00E35CD7">
      <w:pPr>
        <w:pStyle w:val="FootnoteText"/>
        <w:rPr>
          <w:sz w:val="18"/>
          <w:szCs w:val="18"/>
        </w:rPr>
      </w:pPr>
      <w:r>
        <w:rPr>
          <w:rStyle w:val="FootnoteReference"/>
        </w:rPr>
        <w:footnoteRef/>
      </w:r>
      <w:r>
        <w:t xml:space="preserve">  </w:t>
      </w:r>
      <w:r>
        <w:rPr>
          <w:sz w:val="18"/>
          <w:szCs w:val="18"/>
        </w:rPr>
        <w:t>Part II should not be longer than 5 pages.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983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635DB"/>
    <w:multiLevelType w:val="hybridMultilevel"/>
    <w:tmpl w:val="8B409598"/>
    <w:lvl w:ilvl="0" w:tplc="E3A82504">
      <w:start w:val="1"/>
      <w:numFmt w:val="upperLetter"/>
      <w:lvlText w:val="%1."/>
      <w:lvlJc w:val="left"/>
      <w:pPr>
        <w:tabs>
          <w:tab w:val="num" w:pos="720"/>
        </w:tabs>
        <w:ind w:left="720" w:hanging="360"/>
      </w:pPr>
      <w:rPr>
        <w:rFonts w:ascii="Times New Roman Bold" w:hAnsi="Times New Roman 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23502"/>
    <w:multiLevelType w:val="hybridMultilevel"/>
    <w:tmpl w:val="89FAD2A8"/>
    <w:lvl w:ilvl="0" w:tplc="6A24784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F705A"/>
    <w:multiLevelType w:val="hybridMultilevel"/>
    <w:tmpl w:val="EDE02A6C"/>
    <w:lvl w:ilvl="0" w:tplc="D8946898">
      <w:start w:val="2"/>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134F7"/>
    <w:multiLevelType w:val="hybridMultilevel"/>
    <w:tmpl w:val="63F8A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407AEC"/>
    <w:multiLevelType w:val="hybridMultilevel"/>
    <w:tmpl w:val="FCD663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0B5D1F45"/>
    <w:multiLevelType w:val="hybridMultilevel"/>
    <w:tmpl w:val="E3EED1B2"/>
    <w:lvl w:ilvl="0" w:tplc="43C2EDC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37DE4"/>
    <w:multiLevelType w:val="hybridMultilevel"/>
    <w:tmpl w:val="CC84A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14D3F"/>
    <w:multiLevelType w:val="hybridMultilevel"/>
    <w:tmpl w:val="BE425E4C"/>
    <w:lvl w:ilvl="0" w:tplc="21DA1A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D84AA5"/>
    <w:multiLevelType w:val="hybridMultilevel"/>
    <w:tmpl w:val="9FA638CA"/>
    <w:lvl w:ilvl="0" w:tplc="4A7AAA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7E3046"/>
    <w:multiLevelType w:val="hybridMultilevel"/>
    <w:tmpl w:val="1750C634"/>
    <w:lvl w:ilvl="0" w:tplc="179863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B1F61"/>
    <w:multiLevelType w:val="multilevel"/>
    <w:tmpl w:val="FD36B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2946E8E"/>
    <w:multiLevelType w:val="hybridMultilevel"/>
    <w:tmpl w:val="507E4F7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
    <w:nsid w:val="12E45DA1"/>
    <w:multiLevelType w:val="hybridMultilevel"/>
    <w:tmpl w:val="4C6E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3A113C"/>
    <w:multiLevelType w:val="hybridMultilevel"/>
    <w:tmpl w:val="A83484DC"/>
    <w:lvl w:ilvl="0" w:tplc="04090001">
      <w:start w:val="1"/>
      <w:numFmt w:val="bullet"/>
      <w:lvlText w:val=""/>
      <w:lvlJc w:val="left"/>
      <w:pPr>
        <w:ind w:left="720" w:hanging="360"/>
      </w:pPr>
      <w:rPr>
        <w:rFonts w:ascii="Symbol" w:hAnsi="Symbol" w:hint="default"/>
      </w:rPr>
    </w:lvl>
    <w:lvl w:ilvl="1" w:tplc="04090003">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A60A4"/>
    <w:multiLevelType w:val="hybridMultilevel"/>
    <w:tmpl w:val="8CB814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54F5CBC"/>
    <w:multiLevelType w:val="hybridMultilevel"/>
    <w:tmpl w:val="D408CF3E"/>
    <w:lvl w:ilvl="0" w:tplc="2EF4B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05F67"/>
    <w:multiLevelType w:val="hybridMultilevel"/>
    <w:tmpl w:val="DA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820E35"/>
    <w:multiLevelType w:val="hybridMultilevel"/>
    <w:tmpl w:val="E59412CA"/>
    <w:lvl w:ilvl="0" w:tplc="13E82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F2AC0"/>
    <w:multiLevelType w:val="hybridMultilevel"/>
    <w:tmpl w:val="9B1E5E1C"/>
    <w:lvl w:ilvl="0" w:tplc="E498345C">
      <w:start w:val="1"/>
      <w:numFmt w:val="upperLetter"/>
      <w:pStyle w:val="ColorfulList-Accent11"/>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460154ED"/>
    <w:multiLevelType w:val="hybridMultilevel"/>
    <w:tmpl w:val="FBBAD2DC"/>
    <w:lvl w:ilvl="0" w:tplc="016AB05A">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62ADA"/>
    <w:multiLevelType w:val="hybridMultilevel"/>
    <w:tmpl w:val="AC28F7A8"/>
    <w:lvl w:ilvl="0" w:tplc="0409000B">
      <w:start w:val="3"/>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5B1F0871"/>
    <w:multiLevelType w:val="hybridMultilevel"/>
    <w:tmpl w:val="A4303BA6"/>
    <w:lvl w:ilvl="0" w:tplc="04090015">
      <w:start w:val="1"/>
      <w:numFmt w:val="bullet"/>
      <w:lvlText w:val=""/>
      <w:lvlJc w:val="left"/>
      <w:pPr>
        <w:tabs>
          <w:tab w:val="num" w:pos="360"/>
        </w:tabs>
        <w:ind w:left="360" w:hanging="360"/>
      </w:pPr>
      <w:rPr>
        <w:rFonts w:ascii="Symbol" w:hAnsi="Symbol" w:hint="default"/>
        <w:sz w:val="20"/>
      </w:rPr>
    </w:lvl>
    <w:lvl w:ilvl="1" w:tplc="04090019"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4">
    <w:nsid w:val="5E5C28E6"/>
    <w:multiLevelType w:val="hybridMultilevel"/>
    <w:tmpl w:val="88E41208"/>
    <w:lvl w:ilvl="0" w:tplc="4A7AAA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EC339C"/>
    <w:multiLevelType w:val="hybridMultilevel"/>
    <w:tmpl w:val="0F9AC870"/>
    <w:lvl w:ilvl="0" w:tplc="EA3EE1E0">
      <w:start w:val="2"/>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853E1"/>
    <w:multiLevelType w:val="hybridMultilevel"/>
    <w:tmpl w:val="561CC2E4"/>
    <w:lvl w:ilvl="0" w:tplc="FFFFFFFF">
      <w:start w:val="1"/>
      <w:numFmt w:val="upp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DBD41ED"/>
    <w:multiLevelType w:val="hybridMultilevel"/>
    <w:tmpl w:val="AA029BA8"/>
    <w:lvl w:ilvl="0" w:tplc="04090015">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28">
    <w:nsid w:val="719F2242"/>
    <w:multiLevelType w:val="hybridMultilevel"/>
    <w:tmpl w:val="DA78A7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0D1A5D"/>
    <w:multiLevelType w:val="hybridMultilevel"/>
    <w:tmpl w:val="3A2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AE03E8"/>
    <w:multiLevelType w:val="hybridMultilevel"/>
    <w:tmpl w:val="36525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8"/>
  </w:num>
  <w:num w:numId="4">
    <w:abstractNumId w:val="23"/>
  </w:num>
  <w:num w:numId="5">
    <w:abstractNumId w:val="12"/>
  </w:num>
  <w:num w:numId="6">
    <w:abstractNumId w:val="15"/>
  </w:num>
  <w:num w:numId="7">
    <w:abstractNumId w:val="13"/>
  </w:num>
  <w:num w:numId="8">
    <w:abstractNumId w:val="5"/>
  </w:num>
  <w:num w:numId="9">
    <w:abstractNumId w:val="30"/>
  </w:num>
  <w:num w:numId="10">
    <w:abstractNumId w:val="2"/>
  </w:num>
  <w:num w:numId="11">
    <w:abstractNumId w:val="14"/>
  </w:num>
  <w:num w:numId="12">
    <w:abstractNumId w:val="7"/>
  </w:num>
  <w:num w:numId="13">
    <w:abstractNumId w:val="6"/>
  </w:num>
  <w:num w:numId="14">
    <w:abstractNumId w:val="22"/>
  </w:num>
  <w:num w:numId="15">
    <w:abstractNumId w:val="28"/>
  </w:num>
  <w:num w:numId="16">
    <w:abstractNumId w:val="17"/>
  </w:num>
  <w:num w:numId="17">
    <w:abstractNumId w:val="18"/>
  </w:num>
  <w:num w:numId="18">
    <w:abstractNumId w:val="27"/>
  </w:num>
  <w:num w:numId="19">
    <w:abstractNumId w:val="29"/>
  </w:num>
  <w:num w:numId="20">
    <w:abstractNumId w:val="11"/>
  </w:num>
  <w:num w:numId="21">
    <w:abstractNumId w:val="16"/>
  </w:num>
  <w:num w:numId="22">
    <w:abstractNumId w:val="25"/>
  </w:num>
  <w:num w:numId="23">
    <w:abstractNumId w:val="3"/>
  </w:num>
  <w:num w:numId="24">
    <w:abstractNumId w:val="19"/>
  </w:num>
  <w:num w:numId="25">
    <w:abstractNumId w:val="4"/>
  </w:num>
  <w:num w:numId="26">
    <w:abstractNumId w:val="20"/>
  </w:num>
  <w:num w:numId="27">
    <w:abstractNumId w:val="0"/>
  </w:num>
  <w:num w:numId="28">
    <w:abstractNumId w:val="10"/>
  </w:num>
  <w:num w:numId="29">
    <w:abstractNumId w:val="9"/>
  </w:num>
  <w:num w:numId="30">
    <w:abstractNumId w:val="24"/>
  </w:num>
  <w:num w:numId="3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A1"/>
    <w:rsid w:val="0000045B"/>
    <w:rsid w:val="0000153B"/>
    <w:rsid w:val="00001540"/>
    <w:rsid w:val="0000198C"/>
    <w:rsid w:val="00001C88"/>
    <w:rsid w:val="000038F8"/>
    <w:rsid w:val="000053EF"/>
    <w:rsid w:val="000059A9"/>
    <w:rsid w:val="00006983"/>
    <w:rsid w:val="00007E9E"/>
    <w:rsid w:val="000100BF"/>
    <w:rsid w:val="000108DE"/>
    <w:rsid w:val="0001179E"/>
    <w:rsid w:val="00011ECA"/>
    <w:rsid w:val="00012ABB"/>
    <w:rsid w:val="00014177"/>
    <w:rsid w:val="000142F3"/>
    <w:rsid w:val="000172AF"/>
    <w:rsid w:val="00020C48"/>
    <w:rsid w:val="00020CDE"/>
    <w:rsid w:val="00021667"/>
    <w:rsid w:val="000241CA"/>
    <w:rsid w:val="00024610"/>
    <w:rsid w:val="00025112"/>
    <w:rsid w:val="00026FDD"/>
    <w:rsid w:val="00027012"/>
    <w:rsid w:val="000301E4"/>
    <w:rsid w:val="00031BC5"/>
    <w:rsid w:val="000324A1"/>
    <w:rsid w:val="00033A4B"/>
    <w:rsid w:val="00034739"/>
    <w:rsid w:val="0003477D"/>
    <w:rsid w:val="0003527B"/>
    <w:rsid w:val="00035D06"/>
    <w:rsid w:val="00037D23"/>
    <w:rsid w:val="00040D76"/>
    <w:rsid w:val="00041A99"/>
    <w:rsid w:val="00041B7D"/>
    <w:rsid w:val="00041C32"/>
    <w:rsid w:val="00043CC3"/>
    <w:rsid w:val="0004518F"/>
    <w:rsid w:val="00050786"/>
    <w:rsid w:val="00054155"/>
    <w:rsid w:val="00055727"/>
    <w:rsid w:val="000559CB"/>
    <w:rsid w:val="00061D0D"/>
    <w:rsid w:val="000627B3"/>
    <w:rsid w:val="00062EF1"/>
    <w:rsid w:val="000630F5"/>
    <w:rsid w:val="00063416"/>
    <w:rsid w:val="000637EE"/>
    <w:rsid w:val="00063935"/>
    <w:rsid w:val="00064ABC"/>
    <w:rsid w:val="00065585"/>
    <w:rsid w:val="000657C9"/>
    <w:rsid w:val="000659BF"/>
    <w:rsid w:val="000660E4"/>
    <w:rsid w:val="0006752B"/>
    <w:rsid w:val="00067679"/>
    <w:rsid w:val="000738DC"/>
    <w:rsid w:val="00076FCB"/>
    <w:rsid w:val="000779B8"/>
    <w:rsid w:val="00077A08"/>
    <w:rsid w:val="00081C7F"/>
    <w:rsid w:val="000833C9"/>
    <w:rsid w:val="00084D5A"/>
    <w:rsid w:val="000859A9"/>
    <w:rsid w:val="00087AFE"/>
    <w:rsid w:val="00091470"/>
    <w:rsid w:val="00091CC9"/>
    <w:rsid w:val="00091E89"/>
    <w:rsid w:val="000927F8"/>
    <w:rsid w:val="0009289B"/>
    <w:rsid w:val="00092D44"/>
    <w:rsid w:val="0009489C"/>
    <w:rsid w:val="00095B57"/>
    <w:rsid w:val="000961E1"/>
    <w:rsid w:val="0009631C"/>
    <w:rsid w:val="0009716D"/>
    <w:rsid w:val="00097611"/>
    <w:rsid w:val="00097715"/>
    <w:rsid w:val="00097FDB"/>
    <w:rsid w:val="000A075B"/>
    <w:rsid w:val="000A1456"/>
    <w:rsid w:val="000A1BC8"/>
    <w:rsid w:val="000A24E2"/>
    <w:rsid w:val="000A32EC"/>
    <w:rsid w:val="000A3EEE"/>
    <w:rsid w:val="000A4BA2"/>
    <w:rsid w:val="000A5CDA"/>
    <w:rsid w:val="000A5E53"/>
    <w:rsid w:val="000A69D0"/>
    <w:rsid w:val="000A6C92"/>
    <w:rsid w:val="000A6C97"/>
    <w:rsid w:val="000A7217"/>
    <w:rsid w:val="000B01AE"/>
    <w:rsid w:val="000B0DD8"/>
    <w:rsid w:val="000B1255"/>
    <w:rsid w:val="000B13C8"/>
    <w:rsid w:val="000B1C04"/>
    <w:rsid w:val="000B1EF6"/>
    <w:rsid w:val="000B2094"/>
    <w:rsid w:val="000B22DF"/>
    <w:rsid w:val="000B464E"/>
    <w:rsid w:val="000B4CD3"/>
    <w:rsid w:val="000B5618"/>
    <w:rsid w:val="000B62E1"/>
    <w:rsid w:val="000B6878"/>
    <w:rsid w:val="000B7C74"/>
    <w:rsid w:val="000B7D2E"/>
    <w:rsid w:val="000C086B"/>
    <w:rsid w:val="000C0B1A"/>
    <w:rsid w:val="000C19AB"/>
    <w:rsid w:val="000C2D8F"/>
    <w:rsid w:val="000C5EBD"/>
    <w:rsid w:val="000C779A"/>
    <w:rsid w:val="000C7928"/>
    <w:rsid w:val="000D0356"/>
    <w:rsid w:val="000D04D5"/>
    <w:rsid w:val="000D0D55"/>
    <w:rsid w:val="000D1392"/>
    <w:rsid w:val="000D73A1"/>
    <w:rsid w:val="000E109F"/>
    <w:rsid w:val="000E1926"/>
    <w:rsid w:val="000E358B"/>
    <w:rsid w:val="000E35C5"/>
    <w:rsid w:val="000E419D"/>
    <w:rsid w:val="000E58F5"/>
    <w:rsid w:val="000E617E"/>
    <w:rsid w:val="000E625C"/>
    <w:rsid w:val="000E79F7"/>
    <w:rsid w:val="000F0242"/>
    <w:rsid w:val="000F3087"/>
    <w:rsid w:val="000F36DE"/>
    <w:rsid w:val="000F3B43"/>
    <w:rsid w:val="000F52DF"/>
    <w:rsid w:val="000F71B0"/>
    <w:rsid w:val="00103620"/>
    <w:rsid w:val="00103647"/>
    <w:rsid w:val="00104656"/>
    <w:rsid w:val="00106305"/>
    <w:rsid w:val="00106891"/>
    <w:rsid w:val="00107376"/>
    <w:rsid w:val="00110314"/>
    <w:rsid w:val="00110321"/>
    <w:rsid w:val="00112A0E"/>
    <w:rsid w:val="00112DE3"/>
    <w:rsid w:val="00112E4B"/>
    <w:rsid w:val="001132D4"/>
    <w:rsid w:val="001144D8"/>
    <w:rsid w:val="00114689"/>
    <w:rsid w:val="00115A6E"/>
    <w:rsid w:val="00115FDD"/>
    <w:rsid w:val="00116514"/>
    <w:rsid w:val="001179A3"/>
    <w:rsid w:val="001179BD"/>
    <w:rsid w:val="001200FA"/>
    <w:rsid w:val="0012189E"/>
    <w:rsid w:val="00123223"/>
    <w:rsid w:val="00124E06"/>
    <w:rsid w:val="00125F28"/>
    <w:rsid w:val="0012641D"/>
    <w:rsid w:val="00127D2D"/>
    <w:rsid w:val="00130F18"/>
    <w:rsid w:val="00131073"/>
    <w:rsid w:val="00132707"/>
    <w:rsid w:val="001336BE"/>
    <w:rsid w:val="00134477"/>
    <w:rsid w:val="001351B8"/>
    <w:rsid w:val="00135456"/>
    <w:rsid w:val="001365E8"/>
    <w:rsid w:val="0013767F"/>
    <w:rsid w:val="00140549"/>
    <w:rsid w:val="0014092F"/>
    <w:rsid w:val="00141016"/>
    <w:rsid w:val="00142B7C"/>
    <w:rsid w:val="00143997"/>
    <w:rsid w:val="001469A4"/>
    <w:rsid w:val="00147D4B"/>
    <w:rsid w:val="00150F18"/>
    <w:rsid w:val="00151844"/>
    <w:rsid w:val="00152098"/>
    <w:rsid w:val="00153C62"/>
    <w:rsid w:val="00154A18"/>
    <w:rsid w:val="00155DA7"/>
    <w:rsid w:val="00156962"/>
    <w:rsid w:val="00156FDD"/>
    <w:rsid w:val="00161EF2"/>
    <w:rsid w:val="00163831"/>
    <w:rsid w:val="0016500E"/>
    <w:rsid w:val="001657B9"/>
    <w:rsid w:val="001658CB"/>
    <w:rsid w:val="001677EF"/>
    <w:rsid w:val="00167A53"/>
    <w:rsid w:val="0017027C"/>
    <w:rsid w:val="00170E90"/>
    <w:rsid w:val="00174075"/>
    <w:rsid w:val="00175A71"/>
    <w:rsid w:val="00177611"/>
    <w:rsid w:val="00177C8E"/>
    <w:rsid w:val="00180144"/>
    <w:rsid w:val="0018053B"/>
    <w:rsid w:val="001811AC"/>
    <w:rsid w:val="00181537"/>
    <w:rsid w:val="00181E18"/>
    <w:rsid w:val="00183E2F"/>
    <w:rsid w:val="00184354"/>
    <w:rsid w:val="00184A13"/>
    <w:rsid w:val="00186780"/>
    <w:rsid w:val="001876E4"/>
    <w:rsid w:val="00191A84"/>
    <w:rsid w:val="001921B5"/>
    <w:rsid w:val="001923DE"/>
    <w:rsid w:val="0019324D"/>
    <w:rsid w:val="00193EB4"/>
    <w:rsid w:val="001940D6"/>
    <w:rsid w:val="001943C6"/>
    <w:rsid w:val="0019499C"/>
    <w:rsid w:val="0019510D"/>
    <w:rsid w:val="001969D0"/>
    <w:rsid w:val="001A014C"/>
    <w:rsid w:val="001A030A"/>
    <w:rsid w:val="001A04CA"/>
    <w:rsid w:val="001A17CD"/>
    <w:rsid w:val="001A1BFC"/>
    <w:rsid w:val="001A34A9"/>
    <w:rsid w:val="001A4067"/>
    <w:rsid w:val="001A45FC"/>
    <w:rsid w:val="001B1128"/>
    <w:rsid w:val="001B14C4"/>
    <w:rsid w:val="001B1FC5"/>
    <w:rsid w:val="001B3449"/>
    <w:rsid w:val="001B5262"/>
    <w:rsid w:val="001B572F"/>
    <w:rsid w:val="001B662B"/>
    <w:rsid w:val="001B69B0"/>
    <w:rsid w:val="001B70F1"/>
    <w:rsid w:val="001B73C9"/>
    <w:rsid w:val="001C1A9C"/>
    <w:rsid w:val="001C278E"/>
    <w:rsid w:val="001C7CDE"/>
    <w:rsid w:val="001D0E90"/>
    <w:rsid w:val="001D1305"/>
    <w:rsid w:val="001D38AA"/>
    <w:rsid w:val="001D7BBA"/>
    <w:rsid w:val="001D7E14"/>
    <w:rsid w:val="001E045F"/>
    <w:rsid w:val="001E0565"/>
    <w:rsid w:val="001E0CDA"/>
    <w:rsid w:val="001E1F9F"/>
    <w:rsid w:val="001E2241"/>
    <w:rsid w:val="001F1A0C"/>
    <w:rsid w:val="001F1C3F"/>
    <w:rsid w:val="001F1EAD"/>
    <w:rsid w:val="001F1EEC"/>
    <w:rsid w:val="001F277D"/>
    <w:rsid w:val="001F386A"/>
    <w:rsid w:val="001F414C"/>
    <w:rsid w:val="001F4963"/>
    <w:rsid w:val="001F617B"/>
    <w:rsid w:val="001F7A4C"/>
    <w:rsid w:val="00200130"/>
    <w:rsid w:val="00200DDE"/>
    <w:rsid w:val="002013BE"/>
    <w:rsid w:val="00201D1B"/>
    <w:rsid w:val="00201EA7"/>
    <w:rsid w:val="00203041"/>
    <w:rsid w:val="00203A9D"/>
    <w:rsid w:val="00203C24"/>
    <w:rsid w:val="002049D3"/>
    <w:rsid w:val="00204F11"/>
    <w:rsid w:val="0020502C"/>
    <w:rsid w:val="00205736"/>
    <w:rsid w:val="0020632F"/>
    <w:rsid w:val="0020759B"/>
    <w:rsid w:val="00207C03"/>
    <w:rsid w:val="002104F4"/>
    <w:rsid w:val="00210F68"/>
    <w:rsid w:val="0021270E"/>
    <w:rsid w:val="00215060"/>
    <w:rsid w:val="00215B4E"/>
    <w:rsid w:val="0021618B"/>
    <w:rsid w:val="00216CFB"/>
    <w:rsid w:val="00217F7D"/>
    <w:rsid w:val="00220B82"/>
    <w:rsid w:val="002211BC"/>
    <w:rsid w:val="002226AF"/>
    <w:rsid w:val="002228D1"/>
    <w:rsid w:val="0022401E"/>
    <w:rsid w:val="00224133"/>
    <w:rsid w:val="002248DE"/>
    <w:rsid w:val="00224F9C"/>
    <w:rsid w:val="00225811"/>
    <w:rsid w:val="0022762C"/>
    <w:rsid w:val="002302DB"/>
    <w:rsid w:val="00230BB9"/>
    <w:rsid w:val="002314DB"/>
    <w:rsid w:val="00232231"/>
    <w:rsid w:val="00232C90"/>
    <w:rsid w:val="002334D6"/>
    <w:rsid w:val="00234529"/>
    <w:rsid w:val="00235F00"/>
    <w:rsid w:val="00237430"/>
    <w:rsid w:val="00240596"/>
    <w:rsid w:val="0024138C"/>
    <w:rsid w:val="0024330F"/>
    <w:rsid w:val="00243742"/>
    <w:rsid w:val="002438BA"/>
    <w:rsid w:val="00244600"/>
    <w:rsid w:val="0024473E"/>
    <w:rsid w:val="00245036"/>
    <w:rsid w:val="00247909"/>
    <w:rsid w:val="00247EFB"/>
    <w:rsid w:val="002509E3"/>
    <w:rsid w:val="00251DC7"/>
    <w:rsid w:val="002543E8"/>
    <w:rsid w:val="00254D36"/>
    <w:rsid w:val="00254F6B"/>
    <w:rsid w:val="002551D4"/>
    <w:rsid w:val="00256C9B"/>
    <w:rsid w:val="00262CF6"/>
    <w:rsid w:val="0026350B"/>
    <w:rsid w:val="002636EC"/>
    <w:rsid w:val="00264387"/>
    <w:rsid w:val="002644DF"/>
    <w:rsid w:val="00265B92"/>
    <w:rsid w:val="002660BD"/>
    <w:rsid w:val="00267329"/>
    <w:rsid w:val="00267833"/>
    <w:rsid w:val="0027046B"/>
    <w:rsid w:val="00270E13"/>
    <w:rsid w:val="002717BE"/>
    <w:rsid w:val="00271893"/>
    <w:rsid w:val="00272C8A"/>
    <w:rsid w:val="002730AC"/>
    <w:rsid w:val="00274766"/>
    <w:rsid w:val="00276415"/>
    <w:rsid w:val="00276471"/>
    <w:rsid w:val="00276E31"/>
    <w:rsid w:val="00277C15"/>
    <w:rsid w:val="00280AE2"/>
    <w:rsid w:val="00281982"/>
    <w:rsid w:val="00282BC7"/>
    <w:rsid w:val="00283BED"/>
    <w:rsid w:val="00284770"/>
    <w:rsid w:val="00286C45"/>
    <w:rsid w:val="00287065"/>
    <w:rsid w:val="002900CA"/>
    <w:rsid w:val="00292090"/>
    <w:rsid w:val="002920EE"/>
    <w:rsid w:val="00293AAA"/>
    <w:rsid w:val="00293CEB"/>
    <w:rsid w:val="0029432E"/>
    <w:rsid w:val="0029499F"/>
    <w:rsid w:val="00295789"/>
    <w:rsid w:val="00295E6E"/>
    <w:rsid w:val="0029675C"/>
    <w:rsid w:val="0029797B"/>
    <w:rsid w:val="002A0791"/>
    <w:rsid w:val="002A2235"/>
    <w:rsid w:val="002A2250"/>
    <w:rsid w:val="002A31DD"/>
    <w:rsid w:val="002A3753"/>
    <w:rsid w:val="002A449F"/>
    <w:rsid w:val="002A4D23"/>
    <w:rsid w:val="002A5151"/>
    <w:rsid w:val="002A587A"/>
    <w:rsid w:val="002A5AC2"/>
    <w:rsid w:val="002B04E5"/>
    <w:rsid w:val="002B1AD1"/>
    <w:rsid w:val="002B1D5E"/>
    <w:rsid w:val="002B2976"/>
    <w:rsid w:val="002B38BA"/>
    <w:rsid w:val="002B433C"/>
    <w:rsid w:val="002B47C1"/>
    <w:rsid w:val="002B5C2C"/>
    <w:rsid w:val="002B6319"/>
    <w:rsid w:val="002B6944"/>
    <w:rsid w:val="002B77BC"/>
    <w:rsid w:val="002C265E"/>
    <w:rsid w:val="002C2E66"/>
    <w:rsid w:val="002C310F"/>
    <w:rsid w:val="002C542E"/>
    <w:rsid w:val="002C7CB5"/>
    <w:rsid w:val="002C7CD7"/>
    <w:rsid w:val="002C7D5B"/>
    <w:rsid w:val="002C7F50"/>
    <w:rsid w:val="002D16DB"/>
    <w:rsid w:val="002D3871"/>
    <w:rsid w:val="002D481E"/>
    <w:rsid w:val="002D6444"/>
    <w:rsid w:val="002D650A"/>
    <w:rsid w:val="002D6858"/>
    <w:rsid w:val="002D7463"/>
    <w:rsid w:val="002E10D0"/>
    <w:rsid w:val="002E29F2"/>
    <w:rsid w:val="002E308E"/>
    <w:rsid w:val="002E3577"/>
    <w:rsid w:val="002E3C76"/>
    <w:rsid w:val="002E655B"/>
    <w:rsid w:val="002F0425"/>
    <w:rsid w:val="002F1560"/>
    <w:rsid w:val="002F4E2D"/>
    <w:rsid w:val="002F5BEB"/>
    <w:rsid w:val="002F763B"/>
    <w:rsid w:val="00301CF2"/>
    <w:rsid w:val="003039C6"/>
    <w:rsid w:val="00303EF2"/>
    <w:rsid w:val="0030453C"/>
    <w:rsid w:val="0030698B"/>
    <w:rsid w:val="00310039"/>
    <w:rsid w:val="00310F1C"/>
    <w:rsid w:val="00312C74"/>
    <w:rsid w:val="00314E1D"/>
    <w:rsid w:val="00315A71"/>
    <w:rsid w:val="00317000"/>
    <w:rsid w:val="0031707C"/>
    <w:rsid w:val="00317451"/>
    <w:rsid w:val="00320368"/>
    <w:rsid w:val="0032217B"/>
    <w:rsid w:val="00323B74"/>
    <w:rsid w:val="003241E6"/>
    <w:rsid w:val="00324743"/>
    <w:rsid w:val="0032484B"/>
    <w:rsid w:val="003249F0"/>
    <w:rsid w:val="00324FA0"/>
    <w:rsid w:val="00325F61"/>
    <w:rsid w:val="00326D58"/>
    <w:rsid w:val="003271FE"/>
    <w:rsid w:val="003315C9"/>
    <w:rsid w:val="0033164E"/>
    <w:rsid w:val="00333824"/>
    <w:rsid w:val="00335E05"/>
    <w:rsid w:val="00336A88"/>
    <w:rsid w:val="00336D6B"/>
    <w:rsid w:val="003374DC"/>
    <w:rsid w:val="00340288"/>
    <w:rsid w:val="00340691"/>
    <w:rsid w:val="003406E0"/>
    <w:rsid w:val="00340D27"/>
    <w:rsid w:val="00343D48"/>
    <w:rsid w:val="00344CA2"/>
    <w:rsid w:val="00346104"/>
    <w:rsid w:val="00346366"/>
    <w:rsid w:val="00346B78"/>
    <w:rsid w:val="00350AFB"/>
    <w:rsid w:val="00351470"/>
    <w:rsid w:val="003556F1"/>
    <w:rsid w:val="00355A9B"/>
    <w:rsid w:val="00361006"/>
    <w:rsid w:val="00361478"/>
    <w:rsid w:val="00361A25"/>
    <w:rsid w:val="00363D66"/>
    <w:rsid w:val="00365280"/>
    <w:rsid w:val="0036580D"/>
    <w:rsid w:val="003671E6"/>
    <w:rsid w:val="00367962"/>
    <w:rsid w:val="0037055E"/>
    <w:rsid w:val="003729CF"/>
    <w:rsid w:val="00377370"/>
    <w:rsid w:val="003775AD"/>
    <w:rsid w:val="00377621"/>
    <w:rsid w:val="003778F2"/>
    <w:rsid w:val="003800CC"/>
    <w:rsid w:val="003809F8"/>
    <w:rsid w:val="00380EA0"/>
    <w:rsid w:val="00381093"/>
    <w:rsid w:val="0038128C"/>
    <w:rsid w:val="003827C0"/>
    <w:rsid w:val="00383222"/>
    <w:rsid w:val="00383C1A"/>
    <w:rsid w:val="00383D04"/>
    <w:rsid w:val="00384866"/>
    <w:rsid w:val="00384F9C"/>
    <w:rsid w:val="003857C4"/>
    <w:rsid w:val="00386E59"/>
    <w:rsid w:val="003908B5"/>
    <w:rsid w:val="00391A97"/>
    <w:rsid w:val="00392306"/>
    <w:rsid w:val="003924C7"/>
    <w:rsid w:val="00392920"/>
    <w:rsid w:val="00395BCE"/>
    <w:rsid w:val="00396F81"/>
    <w:rsid w:val="00397253"/>
    <w:rsid w:val="0039738E"/>
    <w:rsid w:val="00397B60"/>
    <w:rsid w:val="003A118D"/>
    <w:rsid w:val="003A1506"/>
    <w:rsid w:val="003A1D1E"/>
    <w:rsid w:val="003A1FEC"/>
    <w:rsid w:val="003A27C9"/>
    <w:rsid w:val="003A567C"/>
    <w:rsid w:val="003A6C37"/>
    <w:rsid w:val="003B0494"/>
    <w:rsid w:val="003B1A9B"/>
    <w:rsid w:val="003B21C5"/>
    <w:rsid w:val="003B2899"/>
    <w:rsid w:val="003B520D"/>
    <w:rsid w:val="003B74F5"/>
    <w:rsid w:val="003C0353"/>
    <w:rsid w:val="003C0595"/>
    <w:rsid w:val="003C07BC"/>
    <w:rsid w:val="003C34B6"/>
    <w:rsid w:val="003C34EA"/>
    <w:rsid w:val="003C496A"/>
    <w:rsid w:val="003C5CA7"/>
    <w:rsid w:val="003C68B7"/>
    <w:rsid w:val="003D1351"/>
    <w:rsid w:val="003D1786"/>
    <w:rsid w:val="003E0DE4"/>
    <w:rsid w:val="003E3096"/>
    <w:rsid w:val="003E48CF"/>
    <w:rsid w:val="003E4DA3"/>
    <w:rsid w:val="003E5221"/>
    <w:rsid w:val="003E7EE1"/>
    <w:rsid w:val="003F224C"/>
    <w:rsid w:val="003F33AB"/>
    <w:rsid w:val="003F5625"/>
    <w:rsid w:val="003F56C2"/>
    <w:rsid w:val="003F5B3E"/>
    <w:rsid w:val="003F6206"/>
    <w:rsid w:val="003F6882"/>
    <w:rsid w:val="003F768D"/>
    <w:rsid w:val="00400574"/>
    <w:rsid w:val="004014D6"/>
    <w:rsid w:val="00402723"/>
    <w:rsid w:val="004028CA"/>
    <w:rsid w:val="004029ED"/>
    <w:rsid w:val="00402C74"/>
    <w:rsid w:val="0040350B"/>
    <w:rsid w:val="004065E6"/>
    <w:rsid w:val="004076B4"/>
    <w:rsid w:val="00407952"/>
    <w:rsid w:val="00411E9B"/>
    <w:rsid w:val="004120C4"/>
    <w:rsid w:val="00412286"/>
    <w:rsid w:val="0041297E"/>
    <w:rsid w:val="00412D31"/>
    <w:rsid w:val="004141B2"/>
    <w:rsid w:val="004142A0"/>
    <w:rsid w:val="0041507F"/>
    <w:rsid w:val="004156F1"/>
    <w:rsid w:val="00415ABA"/>
    <w:rsid w:val="00416E0C"/>
    <w:rsid w:val="00417919"/>
    <w:rsid w:val="0042017E"/>
    <w:rsid w:val="004220A4"/>
    <w:rsid w:val="004235F7"/>
    <w:rsid w:val="00424167"/>
    <w:rsid w:val="00424741"/>
    <w:rsid w:val="004263C3"/>
    <w:rsid w:val="00427236"/>
    <w:rsid w:val="00430BEC"/>
    <w:rsid w:val="004312D0"/>
    <w:rsid w:val="00435793"/>
    <w:rsid w:val="00436277"/>
    <w:rsid w:val="00436409"/>
    <w:rsid w:val="00436AF0"/>
    <w:rsid w:val="00440BA2"/>
    <w:rsid w:val="004416C4"/>
    <w:rsid w:val="00442A7E"/>
    <w:rsid w:val="00444531"/>
    <w:rsid w:val="0044454E"/>
    <w:rsid w:val="00444B7E"/>
    <w:rsid w:val="00444DFB"/>
    <w:rsid w:val="00445880"/>
    <w:rsid w:val="00446780"/>
    <w:rsid w:val="00447502"/>
    <w:rsid w:val="00447A32"/>
    <w:rsid w:val="00447C0E"/>
    <w:rsid w:val="00447FEA"/>
    <w:rsid w:val="00451ED0"/>
    <w:rsid w:val="0045425B"/>
    <w:rsid w:val="00454655"/>
    <w:rsid w:val="0045535D"/>
    <w:rsid w:val="0045763F"/>
    <w:rsid w:val="00457D40"/>
    <w:rsid w:val="004600C5"/>
    <w:rsid w:val="0046179D"/>
    <w:rsid w:val="004625D6"/>
    <w:rsid w:val="00462B8F"/>
    <w:rsid w:val="004645DB"/>
    <w:rsid w:val="00464674"/>
    <w:rsid w:val="00464ACA"/>
    <w:rsid w:val="004650A5"/>
    <w:rsid w:val="00465C6D"/>
    <w:rsid w:val="00467036"/>
    <w:rsid w:val="00467DC6"/>
    <w:rsid w:val="00470B26"/>
    <w:rsid w:val="0047186B"/>
    <w:rsid w:val="00471FD4"/>
    <w:rsid w:val="00472058"/>
    <w:rsid w:val="00474D00"/>
    <w:rsid w:val="004762AA"/>
    <w:rsid w:val="0047692D"/>
    <w:rsid w:val="00480B77"/>
    <w:rsid w:val="004823DB"/>
    <w:rsid w:val="0048289B"/>
    <w:rsid w:val="00483607"/>
    <w:rsid w:val="00483FE7"/>
    <w:rsid w:val="0048628B"/>
    <w:rsid w:val="004863E3"/>
    <w:rsid w:val="0048737D"/>
    <w:rsid w:val="00492B63"/>
    <w:rsid w:val="00493D48"/>
    <w:rsid w:val="00494041"/>
    <w:rsid w:val="00494761"/>
    <w:rsid w:val="00495BD7"/>
    <w:rsid w:val="004965F1"/>
    <w:rsid w:val="004975CF"/>
    <w:rsid w:val="004A104F"/>
    <w:rsid w:val="004A2E01"/>
    <w:rsid w:val="004A3414"/>
    <w:rsid w:val="004A3FAF"/>
    <w:rsid w:val="004A4781"/>
    <w:rsid w:val="004A53FD"/>
    <w:rsid w:val="004A5E4B"/>
    <w:rsid w:val="004A629C"/>
    <w:rsid w:val="004A7480"/>
    <w:rsid w:val="004B0811"/>
    <w:rsid w:val="004B205E"/>
    <w:rsid w:val="004B3C89"/>
    <w:rsid w:val="004B4403"/>
    <w:rsid w:val="004B4A8B"/>
    <w:rsid w:val="004B5942"/>
    <w:rsid w:val="004B7C4C"/>
    <w:rsid w:val="004C0408"/>
    <w:rsid w:val="004C05FF"/>
    <w:rsid w:val="004C3FCD"/>
    <w:rsid w:val="004C6CA1"/>
    <w:rsid w:val="004C78F6"/>
    <w:rsid w:val="004D13C3"/>
    <w:rsid w:val="004D21E4"/>
    <w:rsid w:val="004D68F3"/>
    <w:rsid w:val="004D6F16"/>
    <w:rsid w:val="004D796F"/>
    <w:rsid w:val="004E04B9"/>
    <w:rsid w:val="004E05CE"/>
    <w:rsid w:val="004E1130"/>
    <w:rsid w:val="004E137E"/>
    <w:rsid w:val="004E3AD3"/>
    <w:rsid w:val="004E597E"/>
    <w:rsid w:val="004E623F"/>
    <w:rsid w:val="004E661A"/>
    <w:rsid w:val="004E67B6"/>
    <w:rsid w:val="004E77FC"/>
    <w:rsid w:val="004E78C4"/>
    <w:rsid w:val="004E792D"/>
    <w:rsid w:val="004F083C"/>
    <w:rsid w:val="004F08BD"/>
    <w:rsid w:val="004F0B07"/>
    <w:rsid w:val="004F1C7B"/>
    <w:rsid w:val="004F4EAD"/>
    <w:rsid w:val="004F579C"/>
    <w:rsid w:val="004F5E04"/>
    <w:rsid w:val="004F5F1C"/>
    <w:rsid w:val="00500846"/>
    <w:rsid w:val="005010C7"/>
    <w:rsid w:val="00501697"/>
    <w:rsid w:val="00503CD5"/>
    <w:rsid w:val="00505203"/>
    <w:rsid w:val="00505B7F"/>
    <w:rsid w:val="00507172"/>
    <w:rsid w:val="00507642"/>
    <w:rsid w:val="00507BDE"/>
    <w:rsid w:val="0051223E"/>
    <w:rsid w:val="005122F5"/>
    <w:rsid w:val="00512C9E"/>
    <w:rsid w:val="00514C9A"/>
    <w:rsid w:val="00516067"/>
    <w:rsid w:val="005161BC"/>
    <w:rsid w:val="00516A49"/>
    <w:rsid w:val="0052033A"/>
    <w:rsid w:val="00521EA0"/>
    <w:rsid w:val="00522213"/>
    <w:rsid w:val="00523282"/>
    <w:rsid w:val="0052349A"/>
    <w:rsid w:val="00525437"/>
    <w:rsid w:val="00525516"/>
    <w:rsid w:val="00525AEE"/>
    <w:rsid w:val="005264D2"/>
    <w:rsid w:val="00531C0F"/>
    <w:rsid w:val="00534049"/>
    <w:rsid w:val="00534694"/>
    <w:rsid w:val="00534DF6"/>
    <w:rsid w:val="00535555"/>
    <w:rsid w:val="00537F89"/>
    <w:rsid w:val="00540731"/>
    <w:rsid w:val="00540739"/>
    <w:rsid w:val="00542F36"/>
    <w:rsid w:val="00544146"/>
    <w:rsid w:val="00544595"/>
    <w:rsid w:val="00547B7C"/>
    <w:rsid w:val="00550837"/>
    <w:rsid w:val="005515A7"/>
    <w:rsid w:val="0055256E"/>
    <w:rsid w:val="005545D1"/>
    <w:rsid w:val="005549DB"/>
    <w:rsid w:val="0055647C"/>
    <w:rsid w:val="00556E00"/>
    <w:rsid w:val="0055791D"/>
    <w:rsid w:val="0055792D"/>
    <w:rsid w:val="00557981"/>
    <w:rsid w:val="00557F6B"/>
    <w:rsid w:val="00563435"/>
    <w:rsid w:val="00566269"/>
    <w:rsid w:val="00566539"/>
    <w:rsid w:val="00571737"/>
    <w:rsid w:val="00572D18"/>
    <w:rsid w:val="005731B9"/>
    <w:rsid w:val="00573D25"/>
    <w:rsid w:val="005764D3"/>
    <w:rsid w:val="005807B7"/>
    <w:rsid w:val="00581E39"/>
    <w:rsid w:val="005822B1"/>
    <w:rsid w:val="00582659"/>
    <w:rsid w:val="00582820"/>
    <w:rsid w:val="0058418B"/>
    <w:rsid w:val="005846C1"/>
    <w:rsid w:val="00585087"/>
    <w:rsid w:val="0058667B"/>
    <w:rsid w:val="0058727C"/>
    <w:rsid w:val="005879E8"/>
    <w:rsid w:val="00587FCE"/>
    <w:rsid w:val="005900B9"/>
    <w:rsid w:val="005903A0"/>
    <w:rsid w:val="00590F54"/>
    <w:rsid w:val="00590FEB"/>
    <w:rsid w:val="00592614"/>
    <w:rsid w:val="00592BEC"/>
    <w:rsid w:val="00592FF6"/>
    <w:rsid w:val="00593288"/>
    <w:rsid w:val="00594214"/>
    <w:rsid w:val="005957C1"/>
    <w:rsid w:val="005968DC"/>
    <w:rsid w:val="00596A73"/>
    <w:rsid w:val="00596A7E"/>
    <w:rsid w:val="00596EA7"/>
    <w:rsid w:val="00597BE5"/>
    <w:rsid w:val="005A1C13"/>
    <w:rsid w:val="005A231D"/>
    <w:rsid w:val="005A23B1"/>
    <w:rsid w:val="005A28D9"/>
    <w:rsid w:val="005A41F8"/>
    <w:rsid w:val="005A4C7F"/>
    <w:rsid w:val="005A4F82"/>
    <w:rsid w:val="005A5103"/>
    <w:rsid w:val="005A5179"/>
    <w:rsid w:val="005A6198"/>
    <w:rsid w:val="005A6314"/>
    <w:rsid w:val="005B2925"/>
    <w:rsid w:val="005B2C6A"/>
    <w:rsid w:val="005B356E"/>
    <w:rsid w:val="005B389E"/>
    <w:rsid w:val="005B40A8"/>
    <w:rsid w:val="005B4402"/>
    <w:rsid w:val="005B4838"/>
    <w:rsid w:val="005B49B1"/>
    <w:rsid w:val="005B5261"/>
    <w:rsid w:val="005B5C1D"/>
    <w:rsid w:val="005B602A"/>
    <w:rsid w:val="005B6ABF"/>
    <w:rsid w:val="005C0EA8"/>
    <w:rsid w:val="005C218F"/>
    <w:rsid w:val="005C39B0"/>
    <w:rsid w:val="005C3A9A"/>
    <w:rsid w:val="005C43D2"/>
    <w:rsid w:val="005C4AD9"/>
    <w:rsid w:val="005C516C"/>
    <w:rsid w:val="005C590C"/>
    <w:rsid w:val="005C68B5"/>
    <w:rsid w:val="005C6BB1"/>
    <w:rsid w:val="005D0854"/>
    <w:rsid w:val="005D0EF3"/>
    <w:rsid w:val="005D1351"/>
    <w:rsid w:val="005D28D6"/>
    <w:rsid w:val="005D2F10"/>
    <w:rsid w:val="005D3526"/>
    <w:rsid w:val="005D36A1"/>
    <w:rsid w:val="005D40E2"/>
    <w:rsid w:val="005D4D4F"/>
    <w:rsid w:val="005D5071"/>
    <w:rsid w:val="005D55C1"/>
    <w:rsid w:val="005E06C2"/>
    <w:rsid w:val="005E0E4C"/>
    <w:rsid w:val="005E18F6"/>
    <w:rsid w:val="005E37C6"/>
    <w:rsid w:val="005E4B8E"/>
    <w:rsid w:val="005E727A"/>
    <w:rsid w:val="005E78C1"/>
    <w:rsid w:val="005E7A2F"/>
    <w:rsid w:val="005F0614"/>
    <w:rsid w:val="005F175A"/>
    <w:rsid w:val="005F1E13"/>
    <w:rsid w:val="005F1FCB"/>
    <w:rsid w:val="005F2FB2"/>
    <w:rsid w:val="005F3531"/>
    <w:rsid w:val="005F43E8"/>
    <w:rsid w:val="005F6248"/>
    <w:rsid w:val="005F66BC"/>
    <w:rsid w:val="005F76DC"/>
    <w:rsid w:val="00601340"/>
    <w:rsid w:val="0060223F"/>
    <w:rsid w:val="0060479A"/>
    <w:rsid w:val="006054D4"/>
    <w:rsid w:val="00610ED9"/>
    <w:rsid w:val="00611508"/>
    <w:rsid w:val="00612862"/>
    <w:rsid w:val="00612DF4"/>
    <w:rsid w:val="0061382C"/>
    <w:rsid w:val="006140E2"/>
    <w:rsid w:val="00616D13"/>
    <w:rsid w:val="006174A6"/>
    <w:rsid w:val="00617D30"/>
    <w:rsid w:val="0062020B"/>
    <w:rsid w:val="0062067B"/>
    <w:rsid w:val="00623C0F"/>
    <w:rsid w:val="00623FE2"/>
    <w:rsid w:val="006250C0"/>
    <w:rsid w:val="00625235"/>
    <w:rsid w:val="0062632C"/>
    <w:rsid w:val="006265AC"/>
    <w:rsid w:val="006274B0"/>
    <w:rsid w:val="006325BE"/>
    <w:rsid w:val="006336F7"/>
    <w:rsid w:val="00633D9E"/>
    <w:rsid w:val="00634ABD"/>
    <w:rsid w:val="00634DE6"/>
    <w:rsid w:val="00635622"/>
    <w:rsid w:val="00637FAF"/>
    <w:rsid w:val="00640854"/>
    <w:rsid w:val="006416E3"/>
    <w:rsid w:val="00641EB7"/>
    <w:rsid w:val="00642581"/>
    <w:rsid w:val="0064379A"/>
    <w:rsid w:val="0064621B"/>
    <w:rsid w:val="00646F87"/>
    <w:rsid w:val="00652044"/>
    <w:rsid w:val="00652C4D"/>
    <w:rsid w:val="00652EA7"/>
    <w:rsid w:val="0065308A"/>
    <w:rsid w:val="00653590"/>
    <w:rsid w:val="00653744"/>
    <w:rsid w:val="00655753"/>
    <w:rsid w:val="0065663E"/>
    <w:rsid w:val="00656F22"/>
    <w:rsid w:val="00657FF8"/>
    <w:rsid w:val="00660736"/>
    <w:rsid w:val="00661A08"/>
    <w:rsid w:val="00661A21"/>
    <w:rsid w:val="00661CAF"/>
    <w:rsid w:val="006627EE"/>
    <w:rsid w:val="00662C9D"/>
    <w:rsid w:val="00664919"/>
    <w:rsid w:val="00665FB2"/>
    <w:rsid w:val="00666BA5"/>
    <w:rsid w:val="00667450"/>
    <w:rsid w:val="00671881"/>
    <w:rsid w:val="00673759"/>
    <w:rsid w:val="00674CF3"/>
    <w:rsid w:val="00674ED7"/>
    <w:rsid w:val="0067531C"/>
    <w:rsid w:val="00675F00"/>
    <w:rsid w:val="0067624F"/>
    <w:rsid w:val="006764D6"/>
    <w:rsid w:val="00676CD6"/>
    <w:rsid w:val="00677176"/>
    <w:rsid w:val="00680850"/>
    <w:rsid w:val="00680AE4"/>
    <w:rsid w:val="00681BE0"/>
    <w:rsid w:val="00684A86"/>
    <w:rsid w:val="00685FD2"/>
    <w:rsid w:val="0068675F"/>
    <w:rsid w:val="00686EB3"/>
    <w:rsid w:val="00687DAF"/>
    <w:rsid w:val="006933DA"/>
    <w:rsid w:val="00693747"/>
    <w:rsid w:val="00694084"/>
    <w:rsid w:val="00697C32"/>
    <w:rsid w:val="006A16BA"/>
    <w:rsid w:val="006A1829"/>
    <w:rsid w:val="006A1BE2"/>
    <w:rsid w:val="006A28A6"/>
    <w:rsid w:val="006A5957"/>
    <w:rsid w:val="006A63ED"/>
    <w:rsid w:val="006B0A39"/>
    <w:rsid w:val="006B1249"/>
    <w:rsid w:val="006B2242"/>
    <w:rsid w:val="006B248A"/>
    <w:rsid w:val="006B39F9"/>
    <w:rsid w:val="006B3A21"/>
    <w:rsid w:val="006B4E13"/>
    <w:rsid w:val="006B5F0E"/>
    <w:rsid w:val="006B6691"/>
    <w:rsid w:val="006B6900"/>
    <w:rsid w:val="006C0D7B"/>
    <w:rsid w:val="006C104E"/>
    <w:rsid w:val="006C1D01"/>
    <w:rsid w:val="006C2998"/>
    <w:rsid w:val="006C2E61"/>
    <w:rsid w:val="006C364A"/>
    <w:rsid w:val="006C386F"/>
    <w:rsid w:val="006C6314"/>
    <w:rsid w:val="006C775D"/>
    <w:rsid w:val="006C7D50"/>
    <w:rsid w:val="006D0686"/>
    <w:rsid w:val="006D0AB6"/>
    <w:rsid w:val="006D4E1C"/>
    <w:rsid w:val="006D4F35"/>
    <w:rsid w:val="006D52E0"/>
    <w:rsid w:val="006D5B1F"/>
    <w:rsid w:val="006D5CF5"/>
    <w:rsid w:val="006D6D89"/>
    <w:rsid w:val="006D7591"/>
    <w:rsid w:val="006E0A3F"/>
    <w:rsid w:val="006E2ABA"/>
    <w:rsid w:val="006E35A4"/>
    <w:rsid w:val="006E45A5"/>
    <w:rsid w:val="006E491C"/>
    <w:rsid w:val="006E56D8"/>
    <w:rsid w:val="006E5923"/>
    <w:rsid w:val="006E7279"/>
    <w:rsid w:val="006F0879"/>
    <w:rsid w:val="006F0ADD"/>
    <w:rsid w:val="006F3B05"/>
    <w:rsid w:val="006F4370"/>
    <w:rsid w:val="006F4677"/>
    <w:rsid w:val="006F5406"/>
    <w:rsid w:val="006F563A"/>
    <w:rsid w:val="006F5E41"/>
    <w:rsid w:val="006F7344"/>
    <w:rsid w:val="006F7C9B"/>
    <w:rsid w:val="007002F2"/>
    <w:rsid w:val="00701127"/>
    <w:rsid w:val="00701FF2"/>
    <w:rsid w:val="007065F9"/>
    <w:rsid w:val="00711499"/>
    <w:rsid w:val="00712AAF"/>
    <w:rsid w:val="00712DBE"/>
    <w:rsid w:val="00713EDA"/>
    <w:rsid w:val="0071440F"/>
    <w:rsid w:val="007149D3"/>
    <w:rsid w:val="007228B4"/>
    <w:rsid w:val="007228C8"/>
    <w:rsid w:val="00724354"/>
    <w:rsid w:val="00724E76"/>
    <w:rsid w:val="00725908"/>
    <w:rsid w:val="00725DE1"/>
    <w:rsid w:val="00727D50"/>
    <w:rsid w:val="0073061D"/>
    <w:rsid w:val="00730B2C"/>
    <w:rsid w:val="0073288D"/>
    <w:rsid w:val="00732B1A"/>
    <w:rsid w:val="00733E9E"/>
    <w:rsid w:val="00734459"/>
    <w:rsid w:val="007409FB"/>
    <w:rsid w:val="00740D88"/>
    <w:rsid w:val="00742AA3"/>
    <w:rsid w:val="007441D9"/>
    <w:rsid w:val="00744ACA"/>
    <w:rsid w:val="007473A3"/>
    <w:rsid w:val="0074761D"/>
    <w:rsid w:val="00750B84"/>
    <w:rsid w:val="00751888"/>
    <w:rsid w:val="00751C24"/>
    <w:rsid w:val="007520F6"/>
    <w:rsid w:val="00754040"/>
    <w:rsid w:val="00754FB9"/>
    <w:rsid w:val="00755684"/>
    <w:rsid w:val="007567E6"/>
    <w:rsid w:val="00756EE9"/>
    <w:rsid w:val="007571BA"/>
    <w:rsid w:val="007572C6"/>
    <w:rsid w:val="00757EBA"/>
    <w:rsid w:val="00761E32"/>
    <w:rsid w:val="007625DF"/>
    <w:rsid w:val="00762CC8"/>
    <w:rsid w:val="00763A94"/>
    <w:rsid w:val="00764818"/>
    <w:rsid w:val="00764E09"/>
    <w:rsid w:val="00764F86"/>
    <w:rsid w:val="00764F92"/>
    <w:rsid w:val="00765372"/>
    <w:rsid w:val="007660FB"/>
    <w:rsid w:val="00767AA4"/>
    <w:rsid w:val="00767ACC"/>
    <w:rsid w:val="00767EF0"/>
    <w:rsid w:val="00773163"/>
    <w:rsid w:val="00775DDB"/>
    <w:rsid w:val="00776224"/>
    <w:rsid w:val="00776D1F"/>
    <w:rsid w:val="00777E54"/>
    <w:rsid w:val="007834D5"/>
    <w:rsid w:val="00785CAE"/>
    <w:rsid w:val="00785FA8"/>
    <w:rsid w:val="0078672E"/>
    <w:rsid w:val="007876F2"/>
    <w:rsid w:val="00790476"/>
    <w:rsid w:val="00792397"/>
    <w:rsid w:val="0079292A"/>
    <w:rsid w:val="00792A27"/>
    <w:rsid w:val="00795BF2"/>
    <w:rsid w:val="00796847"/>
    <w:rsid w:val="007969B8"/>
    <w:rsid w:val="007A189D"/>
    <w:rsid w:val="007A24F0"/>
    <w:rsid w:val="007A28A3"/>
    <w:rsid w:val="007A36DE"/>
    <w:rsid w:val="007A3798"/>
    <w:rsid w:val="007A38AA"/>
    <w:rsid w:val="007A3AA3"/>
    <w:rsid w:val="007A56CD"/>
    <w:rsid w:val="007A5D7E"/>
    <w:rsid w:val="007A624A"/>
    <w:rsid w:val="007A664B"/>
    <w:rsid w:val="007A678A"/>
    <w:rsid w:val="007A7584"/>
    <w:rsid w:val="007A7B51"/>
    <w:rsid w:val="007B1190"/>
    <w:rsid w:val="007B351D"/>
    <w:rsid w:val="007B5E5B"/>
    <w:rsid w:val="007B63D1"/>
    <w:rsid w:val="007C0AB9"/>
    <w:rsid w:val="007C0E50"/>
    <w:rsid w:val="007C107F"/>
    <w:rsid w:val="007C21CF"/>
    <w:rsid w:val="007C332B"/>
    <w:rsid w:val="007C3891"/>
    <w:rsid w:val="007C3D2C"/>
    <w:rsid w:val="007C3FE2"/>
    <w:rsid w:val="007C4FC4"/>
    <w:rsid w:val="007C6B6A"/>
    <w:rsid w:val="007C6CF8"/>
    <w:rsid w:val="007C6DEE"/>
    <w:rsid w:val="007D04FF"/>
    <w:rsid w:val="007D09B1"/>
    <w:rsid w:val="007D0E7F"/>
    <w:rsid w:val="007D2C99"/>
    <w:rsid w:val="007D2EDF"/>
    <w:rsid w:val="007D4792"/>
    <w:rsid w:val="007D48FB"/>
    <w:rsid w:val="007D56F2"/>
    <w:rsid w:val="007D58C7"/>
    <w:rsid w:val="007D5ACE"/>
    <w:rsid w:val="007D6D3D"/>
    <w:rsid w:val="007D71AA"/>
    <w:rsid w:val="007D775F"/>
    <w:rsid w:val="007D7BC5"/>
    <w:rsid w:val="007E19AA"/>
    <w:rsid w:val="007E1ADA"/>
    <w:rsid w:val="007E2A78"/>
    <w:rsid w:val="007E3AFB"/>
    <w:rsid w:val="007E7412"/>
    <w:rsid w:val="007F1133"/>
    <w:rsid w:val="007F140C"/>
    <w:rsid w:val="007F1C2E"/>
    <w:rsid w:val="007F20FA"/>
    <w:rsid w:val="007F218B"/>
    <w:rsid w:val="007F241B"/>
    <w:rsid w:val="007F359B"/>
    <w:rsid w:val="007F37DD"/>
    <w:rsid w:val="007F3A30"/>
    <w:rsid w:val="007F3EDA"/>
    <w:rsid w:val="007F44AA"/>
    <w:rsid w:val="007F4BE4"/>
    <w:rsid w:val="007F4E1D"/>
    <w:rsid w:val="007F6712"/>
    <w:rsid w:val="007F712D"/>
    <w:rsid w:val="007F7150"/>
    <w:rsid w:val="0080176C"/>
    <w:rsid w:val="00802572"/>
    <w:rsid w:val="008027F6"/>
    <w:rsid w:val="00803C38"/>
    <w:rsid w:val="0080462E"/>
    <w:rsid w:val="00806031"/>
    <w:rsid w:val="00806A8E"/>
    <w:rsid w:val="00806FF4"/>
    <w:rsid w:val="00807489"/>
    <w:rsid w:val="008077B5"/>
    <w:rsid w:val="0081281C"/>
    <w:rsid w:val="008146C7"/>
    <w:rsid w:val="00814B1E"/>
    <w:rsid w:val="0081774E"/>
    <w:rsid w:val="00817CCD"/>
    <w:rsid w:val="00820A88"/>
    <w:rsid w:val="00821391"/>
    <w:rsid w:val="0082251B"/>
    <w:rsid w:val="00822A4A"/>
    <w:rsid w:val="0082384B"/>
    <w:rsid w:val="00825554"/>
    <w:rsid w:val="00825ED2"/>
    <w:rsid w:val="00827ACC"/>
    <w:rsid w:val="0083215E"/>
    <w:rsid w:val="0083219B"/>
    <w:rsid w:val="00832424"/>
    <w:rsid w:val="00834750"/>
    <w:rsid w:val="008348E5"/>
    <w:rsid w:val="00837BCD"/>
    <w:rsid w:val="008426EA"/>
    <w:rsid w:val="00842C08"/>
    <w:rsid w:val="00844685"/>
    <w:rsid w:val="008447B4"/>
    <w:rsid w:val="008449A4"/>
    <w:rsid w:val="00844E9C"/>
    <w:rsid w:val="00845769"/>
    <w:rsid w:val="00847218"/>
    <w:rsid w:val="00847C7F"/>
    <w:rsid w:val="00850D3E"/>
    <w:rsid w:val="0085239D"/>
    <w:rsid w:val="00852F1A"/>
    <w:rsid w:val="008547E3"/>
    <w:rsid w:val="00860F7C"/>
    <w:rsid w:val="00862DA2"/>
    <w:rsid w:val="00865080"/>
    <w:rsid w:val="00865C3D"/>
    <w:rsid w:val="008663A7"/>
    <w:rsid w:val="00866659"/>
    <w:rsid w:val="008667E7"/>
    <w:rsid w:val="00867B61"/>
    <w:rsid w:val="00870816"/>
    <w:rsid w:val="008721D5"/>
    <w:rsid w:val="008723E7"/>
    <w:rsid w:val="008733A3"/>
    <w:rsid w:val="00873F6D"/>
    <w:rsid w:val="0087571B"/>
    <w:rsid w:val="0087599D"/>
    <w:rsid w:val="00876AEA"/>
    <w:rsid w:val="00876BC9"/>
    <w:rsid w:val="00877530"/>
    <w:rsid w:val="008809F2"/>
    <w:rsid w:val="008823D9"/>
    <w:rsid w:val="0088484C"/>
    <w:rsid w:val="00884D52"/>
    <w:rsid w:val="008857BF"/>
    <w:rsid w:val="00885932"/>
    <w:rsid w:val="008865A7"/>
    <w:rsid w:val="00891870"/>
    <w:rsid w:val="00894F8D"/>
    <w:rsid w:val="00895F05"/>
    <w:rsid w:val="0089792E"/>
    <w:rsid w:val="00897FA4"/>
    <w:rsid w:val="008A0636"/>
    <w:rsid w:val="008A1857"/>
    <w:rsid w:val="008A31BC"/>
    <w:rsid w:val="008A3639"/>
    <w:rsid w:val="008A42AF"/>
    <w:rsid w:val="008A5AAD"/>
    <w:rsid w:val="008A661B"/>
    <w:rsid w:val="008B0D14"/>
    <w:rsid w:val="008B19AA"/>
    <w:rsid w:val="008B2A37"/>
    <w:rsid w:val="008B44BF"/>
    <w:rsid w:val="008B55D1"/>
    <w:rsid w:val="008B5BA1"/>
    <w:rsid w:val="008B6820"/>
    <w:rsid w:val="008B70C2"/>
    <w:rsid w:val="008B732F"/>
    <w:rsid w:val="008C0C34"/>
    <w:rsid w:val="008C0C80"/>
    <w:rsid w:val="008C0E64"/>
    <w:rsid w:val="008C4182"/>
    <w:rsid w:val="008C43B6"/>
    <w:rsid w:val="008C5053"/>
    <w:rsid w:val="008C5832"/>
    <w:rsid w:val="008C642D"/>
    <w:rsid w:val="008D031B"/>
    <w:rsid w:val="008D0609"/>
    <w:rsid w:val="008D0D0A"/>
    <w:rsid w:val="008D0FFF"/>
    <w:rsid w:val="008D1036"/>
    <w:rsid w:val="008D121D"/>
    <w:rsid w:val="008D22D7"/>
    <w:rsid w:val="008D3AF6"/>
    <w:rsid w:val="008D51F4"/>
    <w:rsid w:val="008D5BB3"/>
    <w:rsid w:val="008D5DE3"/>
    <w:rsid w:val="008D6064"/>
    <w:rsid w:val="008D652E"/>
    <w:rsid w:val="008D6AE7"/>
    <w:rsid w:val="008D767E"/>
    <w:rsid w:val="008E0F00"/>
    <w:rsid w:val="008E27F7"/>
    <w:rsid w:val="008E3729"/>
    <w:rsid w:val="008E5215"/>
    <w:rsid w:val="008E5612"/>
    <w:rsid w:val="008E5DD9"/>
    <w:rsid w:val="008E5F68"/>
    <w:rsid w:val="008E6532"/>
    <w:rsid w:val="008E6611"/>
    <w:rsid w:val="008F34B7"/>
    <w:rsid w:val="008F3ED8"/>
    <w:rsid w:val="008F3F7E"/>
    <w:rsid w:val="008F4C52"/>
    <w:rsid w:val="008F4DC0"/>
    <w:rsid w:val="008F6AE7"/>
    <w:rsid w:val="008F78CC"/>
    <w:rsid w:val="008F7BAF"/>
    <w:rsid w:val="00900BD0"/>
    <w:rsid w:val="00901FA6"/>
    <w:rsid w:val="00902464"/>
    <w:rsid w:val="00904904"/>
    <w:rsid w:val="009064CF"/>
    <w:rsid w:val="00906E33"/>
    <w:rsid w:val="00907B06"/>
    <w:rsid w:val="009104B8"/>
    <w:rsid w:val="00910B7C"/>
    <w:rsid w:val="009114AC"/>
    <w:rsid w:val="00911602"/>
    <w:rsid w:val="00911719"/>
    <w:rsid w:val="0091371E"/>
    <w:rsid w:val="00913D81"/>
    <w:rsid w:val="00914ADA"/>
    <w:rsid w:val="00915086"/>
    <w:rsid w:val="00916611"/>
    <w:rsid w:val="0091703D"/>
    <w:rsid w:val="00917B86"/>
    <w:rsid w:val="00917DC9"/>
    <w:rsid w:val="00921F0F"/>
    <w:rsid w:val="00923B76"/>
    <w:rsid w:val="00924120"/>
    <w:rsid w:val="009248BA"/>
    <w:rsid w:val="00924C8E"/>
    <w:rsid w:val="009250CE"/>
    <w:rsid w:val="00925723"/>
    <w:rsid w:val="00925DC7"/>
    <w:rsid w:val="00925E92"/>
    <w:rsid w:val="0092684A"/>
    <w:rsid w:val="009269C7"/>
    <w:rsid w:val="00930C60"/>
    <w:rsid w:val="00930EA6"/>
    <w:rsid w:val="00931CA6"/>
    <w:rsid w:val="00932203"/>
    <w:rsid w:val="00932B36"/>
    <w:rsid w:val="009336E5"/>
    <w:rsid w:val="009338BF"/>
    <w:rsid w:val="00933919"/>
    <w:rsid w:val="00934037"/>
    <w:rsid w:val="0093463B"/>
    <w:rsid w:val="00936BDE"/>
    <w:rsid w:val="00936DFE"/>
    <w:rsid w:val="00937030"/>
    <w:rsid w:val="00941FBD"/>
    <w:rsid w:val="009428BA"/>
    <w:rsid w:val="009430E3"/>
    <w:rsid w:val="009466E6"/>
    <w:rsid w:val="0095379B"/>
    <w:rsid w:val="009539D1"/>
    <w:rsid w:val="009543E8"/>
    <w:rsid w:val="00956008"/>
    <w:rsid w:val="0095762E"/>
    <w:rsid w:val="009608EA"/>
    <w:rsid w:val="00963A25"/>
    <w:rsid w:val="00965BFD"/>
    <w:rsid w:val="0096604C"/>
    <w:rsid w:val="009663C6"/>
    <w:rsid w:val="009671D4"/>
    <w:rsid w:val="00967FF5"/>
    <w:rsid w:val="00970A8A"/>
    <w:rsid w:val="00970FB1"/>
    <w:rsid w:val="00971DEC"/>
    <w:rsid w:val="009721FB"/>
    <w:rsid w:val="0097253D"/>
    <w:rsid w:val="00972689"/>
    <w:rsid w:val="00972962"/>
    <w:rsid w:val="00972C1A"/>
    <w:rsid w:val="0097325B"/>
    <w:rsid w:val="00973337"/>
    <w:rsid w:val="0097357F"/>
    <w:rsid w:val="00975233"/>
    <w:rsid w:val="00975445"/>
    <w:rsid w:val="00975CA0"/>
    <w:rsid w:val="00976401"/>
    <w:rsid w:val="0097796B"/>
    <w:rsid w:val="00977AFB"/>
    <w:rsid w:val="0098124E"/>
    <w:rsid w:val="009822C9"/>
    <w:rsid w:val="009828EC"/>
    <w:rsid w:val="00982987"/>
    <w:rsid w:val="00986440"/>
    <w:rsid w:val="0098782E"/>
    <w:rsid w:val="00990340"/>
    <w:rsid w:val="0099128C"/>
    <w:rsid w:val="00991571"/>
    <w:rsid w:val="00993E14"/>
    <w:rsid w:val="00994A24"/>
    <w:rsid w:val="00995367"/>
    <w:rsid w:val="00995759"/>
    <w:rsid w:val="0099625E"/>
    <w:rsid w:val="009A0CEE"/>
    <w:rsid w:val="009A110E"/>
    <w:rsid w:val="009A1E2F"/>
    <w:rsid w:val="009A212B"/>
    <w:rsid w:val="009A2867"/>
    <w:rsid w:val="009A28E6"/>
    <w:rsid w:val="009A44BF"/>
    <w:rsid w:val="009A49BB"/>
    <w:rsid w:val="009A6DF6"/>
    <w:rsid w:val="009A7A7E"/>
    <w:rsid w:val="009B14C0"/>
    <w:rsid w:val="009B2791"/>
    <w:rsid w:val="009B32B0"/>
    <w:rsid w:val="009B4884"/>
    <w:rsid w:val="009B59EC"/>
    <w:rsid w:val="009C32CB"/>
    <w:rsid w:val="009C360D"/>
    <w:rsid w:val="009C5AB9"/>
    <w:rsid w:val="009D1CC5"/>
    <w:rsid w:val="009D3016"/>
    <w:rsid w:val="009D3288"/>
    <w:rsid w:val="009D3C35"/>
    <w:rsid w:val="009D40EF"/>
    <w:rsid w:val="009D7160"/>
    <w:rsid w:val="009E0148"/>
    <w:rsid w:val="009E1399"/>
    <w:rsid w:val="009E2CC6"/>
    <w:rsid w:val="009E379D"/>
    <w:rsid w:val="009E4F49"/>
    <w:rsid w:val="009E6E14"/>
    <w:rsid w:val="009E7799"/>
    <w:rsid w:val="009F09B7"/>
    <w:rsid w:val="009F0DBC"/>
    <w:rsid w:val="009F1DF4"/>
    <w:rsid w:val="009F2052"/>
    <w:rsid w:val="009F2208"/>
    <w:rsid w:val="009F483C"/>
    <w:rsid w:val="009F4F6B"/>
    <w:rsid w:val="009F6415"/>
    <w:rsid w:val="00A01E1E"/>
    <w:rsid w:val="00A0225F"/>
    <w:rsid w:val="00A02555"/>
    <w:rsid w:val="00A06841"/>
    <w:rsid w:val="00A1213D"/>
    <w:rsid w:val="00A15943"/>
    <w:rsid w:val="00A15FAF"/>
    <w:rsid w:val="00A2033C"/>
    <w:rsid w:val="00A21BDC"/>
    <w:rsid w:val="00A22008"/>
    <w:rsid w:val="00A224EA"/>
    <w:rsid w:val="00A237F8"/>
    <w:rsid w:val="00A23EBC"/>
    <w:rsid w:val="00A23F98"/>
    <w:rsid w:val="00A24DBD"/>
    <w:rsid w:val="00A2524F"/>
    <w:rsid w:val="00A25F41"/>
    <w:rsid w:val="00A25FED"/>
    <w:rsid w:val="00A2611C"/>
    <w:rsid w:val="00A27470"/>
    <w:rsid w:val="00A27762"/>
    <w:rsid w:val="00A324D9"/>
    <w:rsid w:val="00A327FB"/>
    <w:rsid w:val="00A370B6"/>
    <w:rsid w:val="00A409A0"/>
    <w:rsid w:val="00A41A2B"/>
    <w:rsid w:val="00A43608"/>
    <w:rsid w:val="00A45F37"/>
    <w:rsid w:val="00A51C0D"/>
    <w:rsid w:val="00A52D41"/>
    <w:rsid w:val="00A53705"/>
    <w:rsid w:val="00A53E70"/>
    <w:rsid w:val="00A541C7"/>
    <w:rsid w:val="00A56558"/>
    <w:rsid w:val="00A56CA6"/>
    <w:rsid w:val="00A570FA"/>
    <w:rsid w:val="00A578F0"/>
    <w:rsid w:val="00A57E34"/>
    <w:rsid w:val="00A615E0"/>
    <w:rsid w:val="00A623CD"/>
    <w:rsid w:val="00A63AFB"/>
    <w:rsid w:val="00A63DF4"/>
    <w:rsid w:val="00A64C3D"/>
    <w:rsid w:val="00A65125"/>
    <w:rsid w:val="00A6533B"/>
    <w:rsid w:val="00A65A36"/>
    <w:rsid w:val="00A666AF"/>
    <w:rsid w:val="00A66FB6"/>
    <w:rsid w:val="00A67B4B"/>
    <w:rsid w:val="00A71D4A"/>
    <w:rsid w:val="00A71E87"/>
    <w:rsid w:val="00A71FCF"/>
    <w:rsid w:val="00A72A37"/>
    <w:rsid w:val="00A72E72"/>
    <w:rsid w:val="00A73916"/>
    <w:rsid w:val="00A76043"/>
    <w:rsid w:val="00A77112"/>
    <w:rsid w:val="00A8173F"/>
    <w:rsid w:val="00A81C95"/>
    <w:rsid w:val="00A8267D"/>
    <w:rsid w:val="00A82BF0"/>
    <w:rsid w:val="00A82DDF"/>
    <w:rsid w:val="00A84269"/>
    <w:rsid w:val="00A84441"/>
    <w:rsid w:val="00A851CA"/>
    <w:rsid w:val="00A85A3A"/>
    <w:rsid w:val="00A85D4B"/>
    <w:rsid w:val="00A86B25"/>
    <w:rsid w:val="00A86F97"/>
    <w:rsid w:val="00A87739"/>
    <w:rsid w:val="00A87965"/>
    <w:rsid w:val="00A9411B"/>
    <w:rsid w:val="00A94474"/>
    <w:rsid w:val="00A94BA0"/>
    <w:rsid w:val="00A94D3B"/>
    <w:rsid w:val="00A97F39"/>
    <w:rsid w:val="00AA0E94"/>
    <w:rsid w:val="00AA1908"/>
    <w:rsid w:val="00AA2722"/>
    <w:rsid w:val="00AA4375"/>
    <w:rsid w:val="00AA4DC1"/>
    <w:rsid w:val="00AA7D40"/>
    <w:rsid w:val="00AA7DC1"/>
    <w:rsid w:val="00AB044F"/>
    <w:rsid w:val="00AB1C64"/>
    <w:rsid w:val="00AB6758"/>
    <w:rsid w:val="00AC0A68"/>
    <w:rsid w:val="00AC0E71"/>
    <w:rsid w:val="00AC1625"/>
    <w:rsid w:val="00AC166E"/>
    <w:rsid w:val="00AC1C21"/>
    <w:rsid w:val="00AC2EDD"/>
    <w:rsid w:val="00AC4643"/>
    <w:rsid w:val="00AC4972"/>
    <w:rsid w:val="00AC4E23"/>
    <w:rsid w:val="00AC7092"/>
    <w:rsid w:val="00AC78C3"/>
    <w:rsid w:val="00AC79AD"/>
    <w:rsid w:val="00AD27E8"/>
    <w:rsid w:val="00AD4061"/>
    <w:rsid w:val="00AD410D"/>
    <w:rsid w:val="00AD52B5"/>
    <w:rsid w:val="00AD5FFD"/>
    <w:rsid w:val="00AE0D05"/>
    <w:rsid w:val="00AE1102"/>
    <w:rsid w:val="00AE1978"/>
    <w:rsid w:val="00AE2A3A"/>
    <w:rsid w:val="00AE2B24"/>
    <w:rsid w:val="00AE42BF"/>
    <w:rsid w:val="00AE49B5"/>
    <w:rsid w:val="00AE4D3C"/>
    <w:rsid w:val="00AE644C"/>
    <w:rsid w:val="00AE68FF"/>
    <w:rsid w:val="00AE69A2"/>
    <w:rsid w:val="00AE6B9D"/>
    <w:rsid w:val="00AE7039"/>
    <w:rsid w:val="00AE7BCB"/>
    <w:rsid w:val="00AF02AE"/>
    <w:rsid w:val="00AF116D"/>
    <w:rsid w:val="00AF16F7"/>
    <w:rsid w:val="00AF22CF"/>
    <w:rsid w:val="00AF2F78"/>
    <w:rsid w:val="00AF44B5"/>
    <w:rsid w:val="00AF69FD"/>
    <w:rsid w:val="00AF6A90"/>
    <w:rsid w:val="00AF6CF4"/>
    <w:rsid w:val="00AF71D7"/>
    <w:rsid w:val="00AF725A"/>
    <w:rsid w:val="00B00DB5"/>
    <w:rsid w:val="00B013AC"/>
    <w:rsid w:val="00B01593"/>
    <w:rsid w:val="00B0183B"/>
    <w:rsid w:val="00B02B5C"/>
    <w:rsid w:val="00B0394E"/>
    <w:rsid w:val="00B042DE"/>
    <w:rsid w:val="00B04575"/>
    <w:rsid w:val="00B06DDC"/>
    <w:rsid w:val="00B11612"/>
    <w:rsid w:val="00B1332F"/>
    <w:rsid w:val="00B1687E"/>
    <w:rsid w:val="00B172B7"/>
    <w:rsid w:val="00B17BCB"/>
    <w:rsid w:val="00B2005E"/>
    <w:rsid w:val="00B20579"/>
    <w:rsid w:val="00B2253A"/>
    <w:rsid w:val="00B22A09"/>
    <w:rsid w:val="00B22AB7"/>
    <w:rsid w:val="00B22FA4"/>
    <w:rsid w:val="00B24FA2"/>
    <w:rsid w:val="00B26423"/>
    <w:rsid w:val="00B35801"/>
    <w:rsid w:val="00B35969"/>
    <w:rsid w:val="00B36328"/>
    <w:rsid w:val="00B36C53"/>
    <w:rsid w:val="00B378EF"/>
    <w:rsid w:val="00B40FB1"/>
    <w:rsid w:val="00B413C4"/>
    <w:rsid w:val="00B435D0"/>
    <w:rsid w:val="00B43FE4"/>
    <w:rsid w:val="00B441C6"/>
    <w:rsid w:val="00B4512F"/>
    <w:rsid w:val="00B47490"/>
    <w:rsid w:val="00B52E46"/>
    <w:rsid w:val="00B5339C"/>
    <w:rsid w:val="00B53724"/>
    <w:rsid w:val="00B53DA7"/>
    <w:rsid w:val="00B5486A"/>
    <w:rsid w:val="00B55C29"/>
    <w:rsid w:val="00B55FF4"/>
    <w:rsid w:val="00B575E0"/>
    <w:rsid w:val="00B577FF"/>
    <w:rsid w:val="00B619D5"/>
    <w:rsid w:val="00B66D20"/>
    <w:rsid w:val="00B67A88"/>
    <w:rsid w:val="00B70018"/>
    <w:rsid w:val="00B7095D"/>
    <w:rsid w:val="00B71277"/>
    <w:rsid w:val="00B73817"/>
    <w:rsid w:val="00B738D7"/>
    <w:rsid w:val="00B743C3"/>
    <w:rsid w:val="00B744BA"/>
    <w:rsid w:val="00B75E52"/>
    <w:rsid w:val="00B82E94"/>
    <w:rsid w:val="00B84AF2"/>
    <w:rsid w:val="00B860DA"/>
    <w:rsid w:val="00B87FDD"/>
    <w:rsid w:val="00B90D36"/>
    <w:rsid w:val="00B91E23"/>
    <w:rsid w:val="00B9294E"/>
    <w:rsid w:val="00B95A6E"/>
    <w:rsid w:val="00B95CFF"/>
    <w:rsid w:val="00B95DB6"/>
    <w:rsid w:val="00B97395"/>
    <w:rsid w:val="00BA138F"/>
    <w:rsid w:val="00BA3072"/>
    <w:rsid w:val="00BA3BB0"/>
    <w:rsid w:val="00BA4829"/>
    <w:rsid w:val="00BA48D1"/>
    <w:rsid w:val="00BA4C93"/>
    <w:rsid w:val="00BA5853"/>
    <w:rsid w:val="00BA7B86"/>
    <w:rsid w:val="00BB22B6"/>
    <w:rsid w:val="00BB2BCE"/>
    <w:rsid w:val="00BB485E"/>
    <w:rsid w:val="00BB649D"/>
    <w:rsid w:val="00BB6525"/>
    <w:rsid w:val="00BB70D2"/>
    <w:rsid w:val="00BC0E1C"/>
    <w:rsid w:val="00BC12B7"/>
    <w:rsid w:val="00BC12DE"/>
    <w:rsid w:val="00BC1ADF"/>
    <w:rsid w:val="00BC20C3"/>
    <w:rsid w:val="00BC22BA"/>
    <w:rsid w:val="00BC472A"/>
    <w:rsid w:val="00BC61B4"/>
    <w:rsid w:val="00BC61EF"/>
    <w:rsid w:val="00BC6B72"/>
    <w:rsid w:val="00BC73F5"/>
    <w:rsid w:val="00BD1A2B"/>
    <w:rsid w:val="00BD3813"/>
    <w:rsid w:val="00BD533D"/>
    <w:rsid w:val="00BD606D"/>
    <w:rsid w:val="00BD610E"/>
    <w:rsid w:val="00BD68F0"/>
    <w:rsid w:val="00BD708B"/>
    <w:rsid w:val="00BD7FA7"/>
    <w:rsid w:val="00BE1748"/>
    <w:rsid w:val="00BE2035"/>
    <w:rsid w:val="00BE269C"/>
    <w:rsid w:val="00BE26EC"/>
    <w:rsid w:val="00BE37FC"/>
    <w:rsid w:val="00BE4F08"/>
    <w:rsid w:val="00BE58A0"/>
    <w:rsid w:val="00BE65F6"/>
    <w:rsid w:val="00BE7B27"/>
    <w:rsid w:val="00BF0AAA"/>
    <w:rsid w:val="00BF0DF6"/>
    <w:rsid w:val="00BF16B2"/>
    <w:rsid w:val="00BF22C3"/>
    <w:rsid w:val="00BF2473"/>
    <w:rsid w:val="00BF4450"/>
    <w:rsid w:val="00BF501C"/>
    <w:rsid w:val="00BF6378"/>
    <w:rsid w:val="00C04D01"/>
    <w:rsid w:val="00C05108"/>
    <w:rsid w:val="00C05EEA"/>
    <w:rsid w:val="00C067D7"/>
    <w:rsid w:val="00C077AC"/>
    <w:rsid w:val="00C14407"/>
    <w:rsid w:val="00C16DC0"/>
    <w:rsid w:val="00C17232"/>
    <w:rsid w:val="00C20DC8"/>
    <w:rsid w:val="00C23751"/>
    <w:rsid w:val="00C23927"/>
    <w:rsid w:val="00C25516"/>
    <w:rsid w:val="00C2559E"/>
    <w:rsid w:val="00C2665D"/>
    <w:rsid w:val="00C26A32"/>
    <w:rsid w:val="00C26BFA"/>
    <w:rsid w:val="00C27865"/>
    <w:rsid w:val="00C27871"/>
    <w:rsid w:val="00C27D86"/>
    <w:rsid w:val="00C304CF"/>
    <w:rsid w:val="00C30758"/>
    <w:rsid w:val="00C320F4"/>
    <w:rsid w:val="00C3268F"/>
    <w:rsid w:val="00C32A9E"/>
    <w:rsid w:val="00C344CA"/>
    <w:rsid w:val="00C34672"/>
    <w:rsid w:val="00C34F1F"/>
    <w:rsid w:val="00C35BD0"/>
    <w:rsid w:val="00C36266"/>
    <w:rsid w:val="00C36EE9"/>
    <w:rsid w:val="00C37298"/>
    <w:rsid w:val="00C403AC"/>
    <w:rsid w:val="00C422F6"/>
    <w:rsid w:val="00C424DA"/>
    <w:rsid w:val="00C4286B"/>
    <w:rsid w:val="00C44ADD"/>
    <w:rsid w:val="00C4589E"/>
    <w:rsid w:val="00C45A8E"/>
    <w:rsid w:val="00C46C38"/>
    <w:rsid w:val="00C5060C"/>
    <w:rsid w:val="00C50BB2"/>
    <w:rsid w:val="00C51B4B"/>
    <w:rsid w:val="00C5255D"/>
    <w:rsid w:val="00C54032"/>
    <w:rsid w:val="00C55798"/>
    <w:rsid w:val="00C55EB2"/>
    <w:rsid w:val="00C56353"/>
    <w:rsid w:val="00C56BB4"/>
    <w:rsid w:val="00C56F5A"/>
    <w:rsid w:val="00C57820"/>
    <w:rsid w:val="00C5790E"/>
    <w:rsid w:val="00C57EDE"/>
    <w:rsid w:val="00C61E8A"/>
    <w:rsid w:val="00C62377"/>
    <w:rsid w:val="00C6311F"/>
    <w:rsid w:val="00C63AB5"/>
    <w:rsid w:val="00C64466"/>
    <w:rsid w:val="00C6460B"/>
    <w:rsid w:val="00C64A2C"/>
    <w:rsid w:val="00C64E4C"/>
    <w:rsid w:val="00C65790"/>
    <w:rsid w:val="00C659CA"/>
    <w:rsid w:val="00C66795"/>
    <w:rsid w:val="00C70885"/>
    <w:rsid w:val="00C71166"/>
    <w:rsid w:val="00C71E1E"/>
    <w:rsid w:val="00C73AA0"/>
    <w:rsid w:val="00C74257"/>
    <w:rsid w:val="00C7494B"/>
    <w:rsid w:val="00C76A34"/>
    <w:rsid w:val="00C77C0E"/>
    <w:rsid w:val="00C77EDA"/>
    <w:rsid w:val="00C81B8F"/>
    <w:rsid w:val="00C81E2B"/>
    <w:rsid w:val="00C830BD"/>
    <w:rsid w:val="00C835F1"/>
    <w:rsid w:val="00C83D3E"/>
    <w:rsid w:val="00C84062"/>
    <w:rsid w:val="00C8408F"/>
    <w:rsid w:val="00C84F67"/>
    <w:rsid w:val="00C85148"/>
    <w:rsid w:val="00C85C0A"/>
    <w:rsid w:val="00C85F99"/>
    <w:rsid w:val="00C87CBA"/>
    <w:rsid w:val="00C87E8F"/>
    <w:rsid w:val="00C90084"/>
    <w:rsid w:val="00C90DAE"/>
    <w:rsid w:val="00C91A54"/>
    <w:rsid w:val="00C92A9B"/>
    <w:rsid w:val="00C934CC"/>
    <w:rsid w:val="00C94444"/>
    <w:rsid w:val="00C964D8"/>
    <w:rsid w:val="00C97373"/>
    <w:rsid w:val="00CA0CE9"/>
    <w:rsid w:val="00CA1F3E"/>
    <w:rsid w:val="00CA3929"/>
    <w:rsid w:val="00CA4061"/>
    <w:rsid w:val="00CA5199"/>
    <w:rsid w:val="00CA5475"/>
    <w:rsid w:val="00CA6343"/>
    <w:rsid w:val="00CB3DD7"/>
    <w:rsid w:val="00CB3EDD"/>
    <w:rsid w:val="00CB53FD"/>
    <w:rsid w:val="00CB5C15"/>
    <w:rsid w:val="00CB5E4D"/>
    <w:rsid w:val="00CB615E"/>
    <w:rsid w:val="00CB662F"/>
    <w:rsid w:val="00CB6C08"/>
    <w:rsid w:val="00CB6D21"/>
    <w:rsid w:val="00CB7A35"/>
    <w:rsid w:val="00CC1488"/>
    <w:rsid w:val="00CC1C77"/>
    <w:rsid w:val="00CC4002"/>
    <w:rsid w:val="00CC50FE"/>
    <w:rsid w:val="00CC679F"/>
    <w:rsid w:val="00CD005B"/>
    <w:rsid w:val="00CD063F"/>
    <w:rsid w:val="00CD0C2B"/>
    <w:rsid w:val="00CD1195"/>
    <w:rsid w:val="00CD14F3"/>
    <w:rsid w:val="00CD1913"/>
    <w:rsid w:val="00CD1D94"/>
    <w:rsid w:val="00CD21EA"/>
    <w:rsid w:val="00CD2D38"/>
    <w:rsid w:val="00CD3836"/>
    <w:rsid w:val="00CD4121"/>
    <w:rsid w:val="00CD4C0A"/>
    <w:rsid w:val="00CD6901"/>
    <w:rsid w:val="00CD6B66"/>
    <w:rsid w:val="00CE016C"/>
    <w:rsid w:val="00CE218A"/>
    <w:rsid w:val="00CE3142"/>
    <w:rsid w:val="00CE3A32"/>
    <w:rsid w:val="00CE3D5C"/>
    <w:rsid w:val="00CE5512"/>
    <w:rsid w:val="00CE6748"/>
    <w:rsid w:val="00CE7114"/>
    <w:rsid w:val="00CF1260"/>
    <w:rsid w:val="00CF2DE0"/>
    <w:rsid w:val="00CF32B7"/>
    <w:rsid w:val="00CF3D71"/>
    <w:rsid w:val="00CF7E9B"/>
    <w:rsid w:val="00D01E17"/>
    <w:rsid w:val="00D0223C"/>
    <w:rsid w:val="00D0375D"/>
    <w:rsid w:val="00D043BA"/>
    <w:rsid w:val="00D045C1"/>
    <w:rsid w:val="00D05270"/>
    <w:rsid w:val="00D07C54"/>
    <w:rsid w:val="00D12BEE"/>
    <w:rsid w:val="00D12CEA"/>
    <w:rsid w:val="00D12F84"/>
    <w:rsid w:val="00D12FB0"/>
    <w:rsid w:val="00D131DD"/>
    <w:rsid w:val="00D13AF0"/>
    <w:rsid w:val="00D13FDC"/>
    <w:rsid w:val="00D13FF6"/>
    <w:rsid w:val="00D14142"/>
    <w:rsid w:val="00D1451F"/>
    <w:rsid w:val="00D14DC5"/>
    <w:rsid w:val="00D15033"/>
    <w:rsid w:val="00D1516A"/>
    <w:rsid w:val="00D156F1"/>
    <w:rsid w:val="00D1667F"/>
    <w:rsid w:val="00D166DA"/>
    <w:rsid w:val="00D219EA"/>
    <w:rsid w:val="00D22B9E"/>
    <w:rsid w:val="00D23AB0"/>
    <w:rsid w:val="00D3023A"/>
    <w:rsid w:val="00D30B00"/>
    <w:rsid w:val="00D33133"/>
    <w:rsid w:val="00D336FE"/>
    <w:rsid w:val="00D337D1"/>
    <w:rsid w:val="00D33C22"/>
    <w:rsid w:val="00D355D0"/>
    <w:rsid w:val="00D3631F"/>
    <w:rsid w:val="00D36EE8"/>
    <w:rsid w:val="00D36F7A"/>
    <w:rsid w:val="00D3789B"/>
    <w:rsid w:val="00D37D9E"/>
    <w:rsid w:val="00D40A33"/>
    <w:rsid w:val="00D422A0"/>
    <w:rsid w:val="00D428B1"/>
    <w:rsid w:val="00D42AEE"/>
    <w:rsid w:val="00D4434F"/>
    <w:rsid w:val="00D44717"/>
    <w:rsid w:val="00D44BA1"/>
    <w:rsid w:val="00D45B86"/>
    <w:rsid w:val="00D466A9"/>
    <w:rsid w:val="00D5048E"/>
    <w:rsid w:val="00D507B5"/>
    <w:rsid w:val="00D50BF9"/>
    <w:rsid w:val="00D50E53"/>
    <w:rsid w:val="00D513CB"/>
    <w:rsid w:val="00D56400"/>
    <w:rsid w:val="00D622A8"/>
    <w:rsid w:val="00D661A2"/>
    <w:rsid w:val="00D67967"/>
    <w:rsid w:val="00D70F99"/>
    <w:rsid w:val="00D71EA8"/>
    <w:rsid w:val="00D744DE"/>
    <w:rsid w:val="00D75374"/>
    <w:rsid w:val="00D754EC"/>
    <w:rsid w:val="00D76AF5"/>
    <w:rsid w:val="00D76C7E"/>
    <w:rsid w:val="00D817BC"/>
    <w:rsid w:val="00D81F3E"/>
    <w:rsid w:val="00D826E9"/>
    <w:rsid w:val="00D83892"/>
    <w:rsid w:val="00D8433E"/>
    <w:rsid w:val="00D84D74"/>
    <w:rsid w:val="00D8663C"/>
    <w:rsid w:val="00D90DBC"/>
    <w:rsid w:val="00D914DF"/>
    <w:rsid w:val="00D91CE7"/>
    <w:rsid w:val="00D93622"/>
    <w:rsid w:val="00D93863"/>
    <w:rsid w:val="00D95761"/>
    <w:rsid w:val="00D958D0"/>
    <w:rsid w:val="00D96383"/>
    <w:rsid w:val="00D966C6"/>
    <w:rsid w:val="00D9746B"/>
    <w:rsid w:val="00DA072B"/>
    <w:rsid w:val="00DA09B2"/>
    <w:rsid w:val="00DA0E22"/>
    <w:rsid w:val="00DA3055"/>
    <w:rsid w:val="00DA39C0"/>
    <w:rsid w:val="00DA4996"/>
    <w:rsid w:val="00DA5559"/>
    <w:rsid w:val="00DA5E35"/>
    <w:rsid w:val="00DA6468"/>
    <w:rsid w:val="00DA650B"/>
    <w:rsid w:val="00DA6F57"/>
    <w:rsid w:val="00DB2140"/>
    <w:rsid w:val="00DB3C6F"/>
    <w:rsid w:val="00DB4446"/>
    <w:rsid w:val="00DB4B00"/>
    <w:rsid w:val="00DB4C73"/>
    <w:rsid w:val="00DB5A89"/>
    <w:rsid w:val="00DB6C92"/>
    <w:rsid w:val="00DB71C1"/>
    <w:rsid w:val="00DB78CB"/>
    <w:rsid w:val="00DC14E1"/>
    <w:rsid w:val="00DC1A13"/>
    <w:rsid w:val="00DC1D91"/>
    <w:rsid w:val="00DC223C"/>
    <w:rsid w:val="00DC472C"/>
    <w:rsid w:val="00DC6CEC"/>
    <w:rsid w:val="00DC6E36"/>
    <w:rsid w:val="00DD1629"/>
    <w:rsid w:val="00DD3F6D"/>
    <w:rsid w:val="00DD5163"/>
    <w:rsid w:val="00DD666F"/>
    <w:rsid w:val="00DD6A0B"/>
    <w:rsid w:val="00DE0791"/>
    <w:rsid w:val="00DE191C"/>
    <w:rsid w:val="00DE25E3"/>
    <w:rsid w:val="00DE498E"/>
    <w:rsid w:val="00DE4A38"/>
    <w:rsid w:val="00DE7BCD"/>
    <w:rsid w:val="00DF241B"/>
    <w:rsid w:val="00DF40B0"/>
    <w:rsid w:val="00E014A4"/>
    <w:rsid w:val="00E03908"/>
    <w:rsid w:val="00E03A03"/>
    <w:rsid w:val="00E040AD"/>
    <w:rsid w:val="00E04360"/>
    <w:rsid w:val="00E04BC6"/>
    <w:rsid w:val="00E04E39"/>
    <w:rsid w:val="00E0515D"/>
    <w:rsid w:val="00E05243"/>
    <w:rsid w:val="00E052DF"/>
    <w:rsid w:val="00E056AF"/>
    <w:rsid w:val="00E05DA4"/>
    <w:rsid w:val="00E061B0"/>
    <w:rsid w:val="00E0641A"/>
    <w:rsid w:val="00E07981"/>
    <w:rsid w:val="00E07B55"/>
    <w:rsid w:val="00E107E8"/>
    <w:rsid w:val="00E10BF2"/>
    <w:rsid w:val="00E10D29"/>
    <w:rsid w:val="00E11C0B"/>
    <w:rsid w:val="00E1295C"/>
    <w:rsid w:val="00E1333C"/>
    <w:rsid w:val="00E13DAF"/>
    <w:rsid w:val="00E15097"/>
    <w:rsid w:val="00E15ACA"/>
    <w:rsid w:val="00E16042"/>
    <w:rsid w:val="00E2088C"/>
    <w:rsid w:val="00E20A7C"/>
    <w:rsid w:val="00E20AF9"/>
    <w:rsid w:val="00E210A2"/>
    <w:rsid w:val="00E2283F"/>
    <w:rsid w:val="00E239AA"/>
    <w:rsid w:val="00E25F82"/>
    <w:rsid w:val="00E3061D"/>
    <w:rsid w:val="00E312C9"/>
    <w:rsid w:val="00E31442"/>
    <w:rsid w:val="00E31B0D"/>
    <w:rsid w:val="00E33F19"/>
    <w:rsid w:val="00E3401D"/>
    <w:rsid w:val="00E3406D"/>
    <w:rsid w:val="00E3416A"/>
    <w:rsid w:val="00E34CC0"/>
    <w:rsid w:val="00E34D6A"/>
    <w:rsid w:val="00E35CD7"/>
    <w:rsid w:val="00E4287F"/>
    <w:rsid w:val="00E47079"/>
    <w:rsid w:val="00E514B7"/>
    <w:rsid w:val="00E51A3E"/>
    <w:rsid w:val="00E51A9E"/>
    <w:rsid w:val="00E51B99"/>
    <w:rsid w:val="00E524A8"/>
    <w:rsid w:val="00E5457C"/>
    <w:rsid w:val="00E54AE1"/>
    <w:rsid w:val="00E56548"/>
    <w:rsid w:val="00E60A11"/>
    <w:rsid w:val="00E61F27"/>
    <w:rsid w:val="00E6205C"/>
    <w:rsid w:val="00E625CE"/>
    <w:rsid w:val="00E66EE2"/>
    <w:rsid w:val="00E70075"/>
    <w:rsid w:val="00E70E55"/>
    <w:rsid w:val="00E71EDD"/>
    <w:rsid w:val="00E72289"/>
    <w:rsid w:val="00E727B6"/>
    <w:rsid w:val="00E73E9E"/>
    <w:rsid w:val="00E740A8"/>
    <w:rsid w:val="00E7604E"/>
    <w:rsid w:val="00E76C2A"/>
    <w:rsid w:val="00E77A48"/>
    <w:rsid w:val="00E80DF8"/>
    <w:rsid w:val="00E822F8"/>
    <w:rsid w:val="00E83E87"/>
    <w:rsid w:val="00E86D80"/>
    <w:rsid w:val="00E8731B"/>
    <w:rsid w:val="00E879C0"/>
    <w:rsid w:val="00E9042A"/>
    <w:rsid w:val="00E90826"/>
    <w:rsid w:val="00E90ECC"/>
    <w:rsid w:val="00E911A5"/>
    <w:rsid w:val="00E92996"/>
    <w:rsid w:val="00E94E05"/>
    <w:rsid w:val="00E95AF9"/>
    <w:rsid w:val="00E95B20"/>
    <w:rsid w:val="00E961F4"/>
    <w:rsid w:val="00E96208"/>
    <w:rsid w:val="00E9726B"/>
    <w:rsid w:val="00EA05D7"/>
    <w:rsid w:val="00EA1504"/>
    <w:rsid w:val="00EA47C8"/>
    <w:rsid w:val="00EA5617"/>
    <w:rsid w:val="00EA56B0"/>
    <w:rsid w:val="00EA60F8"/>
    <w:rsid w:val="00EA64E9"/>
    <w:rsid w:val="00EA7854"/>
    <w:rsid w:val="00EA7EB1"/>
    <w:rsid w:val="00EB21CE"/>
    <w:rsid w:val="00EB46D0"/>
    <w:rsid w:val="00EB4D88"/>
    <w:rsid w:val="00EB5C1C"/>
    <w:rsid w:val="00EB7162"/>
    <w:rsid w:val="00EC16BD"/>
    <w:rsid w:val="00EC478D"/>
    <w:rsid w:val="00EC5630"/>
    <w:rsid w:val="00ED030A"/>
    <w:rsid w:val="00ED0726"/>
    <w:rsid w:val="00ED0EFF"/>
    <w:rsid w:val="00ED0F57"/>
    <w:rsid w:val="00ED16C6"/>
    <w:rsid w:val="00ED38C6"/>
    <w:rsid w:val="00ED3EF7"/>
    <w:rsid w:val="00ED4D58"/>
    <w:rsid w:val="00EE01F3"/>
    <w:rsid w:val="00EE05FC"/>
    <w:rsid w:val="00EE19C6"/>
    <w:rsid w:val="00EE3F38"/>
    <w:rsid w:val="00EE490A"/>
    <w:rsid w:val="00EE5008"/>
    <w:rsid w:val="00EE64B2"/>
    <w:rsid w:val="00EE7189"/>
    <w:rsid w:val="00EE7CBA"/>
    <w:rsid w:val="00EF03E8"/>
    <w:rsid w:val="00EF0414"/>
    <w:rsid w:val="00EF0AC1"/>
    <w:rsid w:val="00EF156A"/>
    <w:rsid w:val="00EF1B71"/>
    <w:rsid w:val="00EF3DDD"/>
    <w:rsid w:val="00EF4ECA"/>
    <w:rsid w:val="00EF76CA"/>
    <w:rsid w:val="00F00747"/>
    <w:rsid w:val="00F01B20"/>
    <w:rsid w:val="00F03891"/>
    <w:rsid w:val="00F07254"/>
    <w:rsid w:val="00F11660"/>
    <w:rsid w:val="00F119C8"/>
    <w:rsid w:val="00F12E33"/>
    <w:rsid w:val="00F12F08"/>
    <w:rsid w:val="00F12FE8"/>
    <w:rsid w:val="00F13FC9"/>
    <w:rsid w:val="00F15103"/>
    <w:rsid w:val="00F15836"/>
    <w:rsid w:val="00F1599C"/>
    <w:rsid w:val="00F160F0"/>
    <w:rsid w:val="00F16527"/>
    <w:rsid w:val="00F17D3C"/>
    <w:rsid w:val="00F20B77"/>
    <w:rsid w:val="00F20BEA"/>
    <w:rsid w:val="00F2176F"/>
    <w:rsid w:val="00F21B59"/>
    <w:rsid w:val="00F22034"/>
    <w:rsid w:val="00F22704"/>
    <w:rsid w:val="00F2526B"/>
    <w:rsid w:val="00F2676D"/>
    <w:rsid w:val="00F27B6F"/>
    <w:rsid w:val="00F31730"/>
    <w:rsid w:val="00F3219D"/>
    <w:rsid w:val="00F32F03"/>
    <w:rsid w:val="00F339D9"/>
    <w:rsid w:val="00F347F5"/>
    <w:rsid w:val="00F34AA7"/>
    <w:rsid w:val="00F34F5B"/>
    <w:rsid w:val="00F35374"/>
    <w:rsid w:val="00F35A64"/>
    <w:rsid w:val="00F35D87"/>
    <w:rsid w:val="00F3635A"/>
    <w:rsid w:val="00F37320"/>
    <w:rsid w:val="00F46543"/>
    <w:rsid w:val="00F465F1"/>
    <w:rsid w:val="00F4668F"/>
    <w:rsid w:val="00F46850"/>
    <w:rsid w:val="00F46C05"/>
    <w:rsid w:val="00F5023F"/>
    <w:rsid w:val="00F52D8A"/>
    <w:rsid w:val="00F53760"/>
    <w:rsid w:val="00F54AA9"/>
    <w:rsid w:val="00F60EA6"/>
    <w:rsid w:val="00F619C0"/>
    <w:rsid w:val="00F64159"/>
    <w:rsid w:val="00F64BD5"/>
    <w:rsid w:val="00F657A6"/>
    <w:rsid w:val="00F6780C"/>
    <w:rsid w:val="00F678BC"/>
    <w:rsid w:val="00F702BB"/>
    <w:rsid w:val="00F706C0"/>
    <w:rsid w:val="00F71B2A"/>
    <w:rsid w:val="00F7283C"/>
    <w:rsid w:val="00F72C43"/>
    <w:rsid w:val="00F745D5"/>
    <w:rsid w:val="00F76A94"/>
    <w:rsid w:val="00F839E9"/>
    <w:rsid w:val="00F850D9"/>
    <w:rsid w:val="00F857BA"/>
    <w:rsid w:val="00F90D61"/>
    <w:rsid w:val="00F90DF9"/>
    <w:rsid w:val="00F917B4"/>
    <w:rsid w:val="00F91DD9"/>
    <w:rsid w:val="00F9219A"/>
    <w:rsid w:val="00F94B90"/>
    <w:rsid w:val="00F958C2"/>
    <w:rsid w:val="00F958FC"/>
    <w:rsid w:val="00F97282"/>
    <w:rsid w:val="00FA12AA"/>
    <w:rsid w:val="00FA1B11"/>
    <w:rsid w:val="00FA2AF8"/>
    <w:rsid w:val="00FA361F"/>
    <w:rsid w:val="00FA4259"/>
    <w:rsid w:val="00FA48C4"/>
    <w:rsid w:val="00FA4EB7"/>
    <w:rsid w:val="00FA7D3A"/>
    <w:rsid w:val="00FB114A"/>
    <w:rsid w:val="00FB3E53"/>
    <w:rsid w:val="00FB4E23"/>
    <w:rsid w:val="00FB58B6"/>
    <w:rsid w:val="00FC024A"/>
    <w:rsid w:val="00FC0B4F"/>
    <w:rsid w:val="00FC0E18"/>
    <w:rsid w:val="00FC11A3"/>
    <w:rsid w:val="00FC7C2D"/>
    <w:rsid w:val="00FD07F0"/>
    <w:rsid w:val="00FD1586"/>
    <w:rsid w:val="00FD40F3"/>
    <w:rsid w:val="00FD42D8"/>
    <w:rsid w:val="00FD56E5"/>
    <w:rsid w:val="00FD633D"/>
    <w:rsid w:val="00FD68AC"/>
    <w:rsid w:val="00FE0503"/>
    <w:rsid w:val="00FE0EF3"/>
    <w:rsid w:val="00FE1E98"/>
    <w:rsid w:val="00FE285D"/>
    <w:rsid w:val="00FE3412"/>
    <w:rsid w:val="00FE375E"/>
    <w:rsid w:val="00FE3D63"/>
    <w:rsid w:val="00FE5B91"/>
    <w:rsid w:val="00FE658C"/>
    <w:rsid w:val="00FE6C16"/>
    <w:rsid w:val="00FE71DB"/>
    <w:rsid w:val="00FF036F"/>
    <w:rsid w:val="00FF1D38"/>
    <w:rsid w:val="00FF2633"/>
    <w:rsid w:val="00FF3B3C"/>
    <w:rsid w:val="00FF5FB0"/>
    <w:rsid w:val="00FF60CE"/>
    <w:rsid w:val="00FF61B3"/>
    <w:rsid w:val="00FF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24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pPr>
      <w:keepNext/>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framePr w:w="3801" w:h="5761" w:hSpace="180" w:wrap="around" w:vAnchor="text" w:hAnchor="page" w:x="6961" w:y="1165"/>
    </w:pPr>
    <w:rPr>
      <w:sz w:val="20"/>
    </w:rPr>
  </w:style>
  <w:style w:type="paragraph" w:styleId="Caption">
    <w:name w:val="caption"/>
    <w:basedOn w:val="Normal"/>
    <w:next w:val="Normal"/>
    <w:uiPriority w:val="99"/>
    <w:qFormat/>
    <w:rPr>
      <w:rFonts w:ascii="Times New Roman Bold" w:hAnsi="Times New Roman Bold"/>
      <w:b/>
      <w:bCs/>
      <w:caps/>
    </w:rPr>
  </w:style>
  <w:style w:type="paragraph" w:styleId="BodyText2">
    <w:name w:val="Body Text 2"/>
    <w:basedOn w:val="Normal"/>
    <w:rPr>
      <w:b/>
      <w:bCs/>
      <w:smallCaps/>
    </w:rPr>
  </w:style>
  <w:style w:type="paragraph" w:customStyle="1" w:styleId="Outline">
    <w:name w:val="Outline"/>
    <w:basedOn w:val="Normal"/>
    <w:pPr>
      <w:spacing w:before="240"/>
    </w:pPr>
    <w:rPr>
      <w:kern w:val="28"/>
      <w:szCs w:val="20"/>
    </w:rPr>
  </w:style>
  <w:style w:type="paragraph" w:styleId="BodyTextIndent2">
    <w:name w:val="Body Text Indent 2"/>
    <w:basedOn w:val="Normal"/>
    <w:pPr>
      <w:ind w:left="360"/>
    </w:pPr>
    <w:rPr>
      <w:i/>
      <w:iCs/>
      <w:sz w:val="22"/>
    </w:rPr>
  </w:style>
  <w:style w:type="character" w:styleId="Hyperlink">
    <w:name w:val="Hyperlink"/>
    <w:rPr>
      <w:color w:val="0000FF"/>
      <w:u w:val="single"/>
    </w:rPr>
  </w:style>
  <w:style w:type="paragraph" w:styleId="BodyTextIndent">
    <w:name w:val="Body Text Indent"/>
    <w:basedOn w:val="Normal"/>
    <w:pPr>
      <w:spacing w:after="80"/>
      <w:ind w:left="1080"/>
      <w:jc w:val="both"/>
    </w:pPr>
  </w:style>
  <w:style w:type="paragraph" w:styleId="BodyTextIndent3">
    <w:name w:val="Body Text Indent 3"/>
    <w:basedOn w:val="Normal"/>
    <w:pPr>
      <w:ind w:left="540"/>
    </w:pPr>
  </w:style>
  <w:style w:type="paragraph" w:styleId="BalloonText">
    <w:name w:val="Balloon Text"/>
    <w:basedOn w:val="Normal"/>
    <w:link w:val="BalloonTextChar"/>
    <w:uiPriority w:val="99"/>
    <w:semiHidden/>
    <w:rsid w:val="00E95B20"/>
    <w:rPr>
      <w:rFonts w:ascii="Tahoma" w:hAnsi="Tahoma"/>
      <w:sz w:val="16"/>
      <w:szCs w:val="16"/>
    </w:rPr>
  </w:style>
  <w:style w:type="table" w:styleId="TableGrid">
    <w:name w:val="Table Grid"/>
    <w:basedOn w:val="TableNormal"/>
    <w:rsid w:val="000D0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
    <w:basedOn w:val="Normal"/>
    <w:link w:val="FootnoteTextChar"/>
    <w:uiPriority w:val="99"/>
    <w:rsid w:val="00F94B90"/>
    <w:rPr>
      <w:sz w:val="20"/>
      <w:szCs w:val="20"/>
    </w:rPr>
  </w:style>
  <w:style w:type="character" w:styleId="FootnoteReference">
    <w:name w:val="footnote reference"/>
    <w:aliases w:val="16 Point,Superscript 6 Point"/>
    <w:uiPriority w:val="99"/>
    <w:rsid w:val="00F94B90"/>
    <w:rPr>
      <w:vertAlign w:val="superscript"/>
    </w:rPr>
  </w:style>
  <w:style w:type="character" w:styleId="FollowedHyperlink">
    <w:name w:val="FollowedHyperlink"/>
    <w:rsid w:val="0038128C"/>
    <w:rPr>
      <w:color w:val="606420"/>
      <w:u w:val="single"/>
    </w:rPr>
  </w:style>
  <w:style w:type="paragraph" w:styleId="DocumentMap">
    <w:name w:val="Document Map"/>
    <w:basedOn w:val="Normal"/>
    <w:semiHidden/>
    <w:rsid w:val="00A73916"/>
    <w:pPr>
      <w:shd w:val="clear" w:color="auto" w:fill="000080"/>
    </w:pPr>
    <w:rPr>
      <w:rFonts w:ascii="Tahoma" w:hAnsi="Tahoma" w:cs="Tahoma"/>
      <w:sz w:val="20"/>
      <w:szCs w:val="20"/>
    </w:rPr>
  </w:style>
  <w:style w:type="paragraph" w:customStyle="1" w:styleId="MainParanoChapter">
    <w:name w:val="Main Para no Chapter #"/>
    <w:basedOn w:val="Normal"/>
    <w:link w:val="MainParanoChapterChar"/>
    <w:autoRedefine/>
    <w:uiPriority w:val="99"/>
    <w:qFormat/>
    <w:rsid w:val="00110321"/>
    <w:pPr>
      <w:numPr>
        <w:numId w:val="5"/>
      </w:numPr>
      <w:spacing w:before="120" w:after="240"/>
      <w:ind w:left="0" w:firstLine="0"/>
      <w:outlineLvl w:val="1"/>
    </w:pPr>
    <w:rPr>
      <w:color w:val="000000"/>
    </w:rPr>
  </w:style>
  <w:style w:type="character" w:customStyle="1" w:styleId="FootnoteTextChar">
    <w:name w:val="Footnote Text Char"/>
    <w:aliases w:val="Geneva 9 Char,Font: Geneva 9 Char,Boston 10 Char,f Char"/>
    <w:basedOn w:val="DefaultParagraphFont"/>
    <w:link w:val="FootnoteText"/>
    <w:uiPriority w:val="99"/>
    <w:locked/>
    <w:rsid w:val="00110321"/>
  </w:style>
  <w:style w:type="character" w:customStyle="1" w:styleId="FooterChar">
    <w:name w:val="Footer Char"/>
    <w:link w:val="Footer"/>
    <w:uiPriority w:val="99"/>
    <w:locked/>
    <w:rsid w:val="00110321"/>
    <w:rPr>
      <w:sz w:val="24"/>
      <w:szCs w:val="24"/>
    </w:rPr>
  </w:style>
  <w:style w:type="character" w:customStyle="1" w:styleId="HeaderChar">
    <w:name w:val="Header Char"/>
    <w:link w:val="Header"/>
    <w:uiPriority w:val="99"/>
    <w:locked/>
    <w:rsid w:val="00110321"/>
    <w:rPr>
      <w:sz w:val="24"/>
      <w:szCs w:val="24"/>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customStyle="1" w:styleId="ColorfulList-Accent11">
    <w:name w:val="Colorful List - Accent 11"/>
    <w:basedOn w:val="Normal"/>
    <w:autoRedefine/>
    <w:uiPriority w:val="34"/>
    <w:qFormat/>
    <w:rsid w:val="00693747"/>
    <w:pPr>
      <w:numPr>
        <w:numId w:val="26"/>
      </w:numPr>
      <w:spacing w:after="200" w:line="276" w:lineRule="auto"/>
      <w:ind w:left="450" w:hanging="450"/>
      <w:contextualSpacing/>
    </w:pPr>
    <w:rPr>
      <w:sz w:val="22"/>
      <w:szCs w:val="18"/>
      <w:lang w:val="en-GB"/>
    </w:rPr>
  </w:style>
  <w:style w:type="character" w:customStyle="1" w:styleId="MainParanoChapterChar">
    <w:name w:val="Main Para no Chapter # Char"/>
    <w:link w:val="MainParanoChapter"/>
    <w:uiPriority w:val="99"/>
    <w:locked/>
    <w:rsid w:val="00110321"/>
    <w:rPr>
      <w:color w:val="000000"/>
      <w:sz w:val="24"/>
      <w:szCs w:val="24"/>
    </w:rPr>
  </w:style>
  <w:style w:type="paragraph" w:customStyle="1" w:styleId="NoSpacing1">
    <w:name w:val="No Spacing1"/>
    <w:uiPriority w:val="1"/>
    <w:qFormat/>
    <w:rsid w:val="00110321"/>
    <w:rPr>
      <w:rFonts w:ascii="Calibri" w:hAnsi="Calibri"/>
      <w:sz w:val="22"/>
      <w:szCs w:val="22"/>
    </w:rPr>
  </w:style>
  <w:style w:type="character" w:customStyle="1" w:styleId="Heading2Char">
    <w:name w:val="Heading 2 Char"/>
    <w:link w:val="Heading2"/>
    <w:rsid w:val="00E7604E"/>
    <w:rPr>
      <w:i/>
      <w:iCs/>
      <w:sz w:val="24"/>
      <w:szCs w:val="24"/>
    </w:rPr>
  </w:style>
  <w:style w:type="character" w:styleId="CommentReference">
    <w:name w:val="annotation reference"/>
    <w:rsid w:val="00E7604E"/>
    <w:rPr>
      <w:sz w:val="16"/>
      <w:szCs w:val="16"/>
    </w:rPr>
  </w:style>
  <w:style w:type="paragraph" w:styleId="CommentText">
    <w:name w:val="annotation text"/>
    <w:basedOn w:val="Normal"/>
    <w:link w:val="CommentTextChar"/>
    <w:rsid w:val="00E7604E"/>
    <w:rPr>
      <w:sz w:val="20"/>
      <w:szCs w:val="20"/>
    </w:rPr>
  </w:style>
  <w:style w:type="character" w:customStyle="1" w:styleId="CommentTextChar">
    <w:name w:val="Comment Text Char"/>
    <w:basedOn w:val="DefaultParagraphFont"/>
    <w:link w:val="CommentText"/>
    <w:rsid w:val="00E7604E"/>
  </w:style>
  <w:style w:type="paragraph" w:styleId="CommentSubject">
    <w:name w:val="annotation subject"/>
    <w:basedOn w:val="CommentText"/>
    <w:next w:val="CommentText"/>
    <w:link w:val="CommentSubjectChar"/>
    <w:rsid w:val="00E7604E"/>
    <w:rPr>
      <w:b/>
      <w:bCs/>
    </w:rPr>
  </w:style>
  <w:style w:type="character" w:customStyle="1" w:styleId="CommentSubjectChar">
    <w:name w:val="Comment Subject Char"/>
    <w:link w:val="CommentSubject"/>
    <w:rsid w:val="00E7604E"/>
    <w:rPr>
      <w:b/>
      <w:bCs/>
    </w:rPr>
  </w:style>
  <w:style w:type="character" w:customStyle="1" w:styleId="BalloonTextChar">
    <w:name w:val="Balloon Text Char"/>
    <w:link w:val="BalloonText"/>
    <w:uiPriority w:val="99"/>
    <w:semiHidden/>
    <w:rsid w:val="003729CF"/>
    <w:rPr>
      <w:rFonts w:ascii="Tahoma" w:hAnsi="Tahoma" w:cs="Tahoma"/>
      <w:sz w:val="16"/>
      <w:szCs w:val="16"/>
    </w:rPr>
  </w:style>
  <w:style w:type="paragraph" w:customStyle="1" w:styleId="Default">
    <w:name w:val="Default"/>
    <w:rsid w:val="00D156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C0E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pPr>
      <w:keepNext/>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framePr w:w="3801" w:h="5761" w:hSpace="180" w:wrap="around" w:vAnchor="text" w:hAnchor="page" w:x="6961" w:y="1165"/>
    </w:pPr>
    <w:rPr>
      <w:sz w:val="20"/>
    </w:rPr>
  </w:style>
  <w:style w:type="paragraph" w:styleId="Caption">
    <w:name w:val="caption"/>
    <w:basedOn w:val="Normal"/>
    <w:next w:val="Normal"/>
    <w:uiPriority w:val="99"/>
    <w:qFormat/>
    <w:rPr>
      <w:rFonts w:ascii="Times New Roman Bold" w:hAnsi="Times New Roman Bold"/>
      <w:b/>
      <w:bCs/>
      <w:caps/>
    </w:rPr>
  </w:style>
  <w:style w:type="paragraph" w:styleId="BodyText2">
    <w:name w:val="Body Text 2"/>
    <w:basedOn w:val="Normal"/>
    <w:rPr>
      <w:b/>
      <w:bCs/>
      <w:smallCaps/>
    </w:rPr>
  </w:style>
  <w:style w:type="paragraph" w:customStyle="1" w:styleId="Outline">
    <w:name w:val="Outline"/>
    <w:basedOn w:val="Normal"/>
    <w:pPr>
      <w:spacing w:before="240"/>
    </w:pPr>
    <w:rPr>
      <w:kern w:val="28"/>
      <w:szCs w:val="20"/>
    </w:rPr>
  </w:style>
  <w:style w:type="paragraph" w:styleId="BodyTextIndent2">
    <w:name w:val="Body Text Indent 2"/>
    <w:basedOn w:val="Normal"/>
    <w:pPr>
      <w:ind w:left="360"/>
    </w:pPr>
    <w:rPr>
      <w:i/>
      <w:iCs/>
      <w:sz w:val="22"/>
    </w:rPr>
  </w:style>
  <w:style w:type="character" w:styleId="Hyperlink">
    <w:name w:val="Hyperlink"/>
    <w:rPr>
      <w:color w:val="0000FF"/>
      <w:u w:val="single"/>
    </w:rPr>
  </w:style>
  <w:style w:type="paragraph" w:styleId="BodyTextIndent">
    <w:name w:val="Body Text Indent"/>
    <w:basedOn w:val="Normal"/>
    <w:pPr>
      <w:spacing w:after="80"/>
      <w:ind w:left="1080"/>
      <w:jc w:val="both"/>
    </w:pPr>
  </w:style>
  <w:style w:type="paragraph" w:styleId="BodyTextIndent3">
    <w:name w:val="Body Text Indent 3"/>
    <w:basedOn w:val="Normal"/>
    <w:pPr>
      <w:ind w:left="540"/>
    </w:pPr>
  </w:style>
  <w:style w:type="paragraph" w:styleId="BalloonText">
    <w:name w:val="Balloon Text"/>
    <w:basedOn w:val="Normal"/>
    <w:link w:val="BalloonTextChar"/>
    <w:uiPriority w:val="99"/>
    <w:semiHidden/>
    <w:rsid w:val="00E95B20"/>
    <w:rPr>
      <w:rFonts w:ascii="Tahoma" w:hAnsi="Tahoma"/>
      <w:sz w:val="16"/>
      <w:szCs w:val="16"/>
    </w:rPr>
  </w:style>
  <w:style w:type="table" w:styleId="TableGrid">
    <w:name w:val="Table Grid"/>
    <w:basedOn w:val="TableNormal"/>
    <w:rsid w:val="000D0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
    <w:basedOn w:val="Normal"/>
    <w:link w:val="FootnoteTextChar"/>
    <w:uiPriority w:val="99"/>
    <w:rsid w:val="00F94B90"/>
    <w:rPr>
      <w:sz w:val="20"/>
      <w:szCs w:val="20"/>
    </w:rPr>
  </w:style>
  <w:style w:type="character" w:styleId="FootnoteReference">
    <w:name w:val="footnote reference"/>
    <w:aliases w:val="16 Point,Superscript 6 Point"/>
    <w:uiPriority w:val="99"/>
    <w:rsid w:val="00F94B90"/>
    <w:rPr>
      <w:vertAlign w:val="superscript"/>
    </w:rPr>
  </w:style>
  <w:style w:type="character" w:styleId="FollowedHyperlink">
    <w:name w:val="FollowedHyperlink"/>
    <w:rsid w:val="0038128C"/>
    <w:rPr>
      <w:color w:val="606420"/>
      <w:u w:val="single"/>
    </w:rPr>
  </w:style>
  <w:style w:type="paragraph" w:styleId="DocumentMap">
    <w:name w:val="Document Map"/>
    <w:basedOn w:val="Normal"/>
    <w:semiHidden/>
    <w:rsid w:val="00A73916"/>
    <w:pPr>
      <w:shd w:val="clear" w:color="auto" w:fill="000080"/>
    </w:pPr>
    <w:rPr>
      <w:rFonts w:ascii="Tahoma" w:hAnsi="Tahoma" w:cs="Tahoma"/>
      <w:sz w:val="20"/>
      <w:szCs w:val="20"/>
    </w:rPr>
  </w:style>
  <w:style w:type="paragraph" w:customStyle="1" w:styleId="MainParanoChapter">
    <w:name w:val="Main Para no Chapter #"/>
    <w:basedOn w:val="Normal"/>
    <w:link w:val="MainParanoChapterChar"/>
    <w:autoRedefine/>
    <w:uiPriority w:val="99"/>
    <w:qFormat/>
    <w:rsid w:val="00110321"/>
    <w:pPr>
      <w:numPr>
        <w:numId w:val="5"/>
      </w:numPr>
      <w:spacing w:before="120" w:after="240"/>
      <w:ind w:left="0" w:firstLine="0"/>
      <w:outlineLvl w:val="1"/>
    </w:pPr>
    <w:rPr>
      <w:color w:val="000000"/>
    </w:rPr>
  </w:style>
  <w:style w:type="character" w:customStyle="1" w:styleId="FootnoteTextChar">
    <w:name w:val="Footnote Text Char"/>
    <w:aliases w:val="Geneva 9 Char,Font: Geneva 9 Char,Boston 10 Char,f Char"/>
    <w:basedOn w:val="DefaultParagraphFont"/>
    <w:link w:val="FootnoteText"/>
    <w:uiPriority w:val="99"/>
    <w:locked/>
    <w:rsid w:val="00110321"/>
  </w:style>
  <w:style w:type="character" w:customStyle="1" w:styleId="FooterChar">
    <w:name w:val="Footer Char"/>
    <w:link w:val="Footer"/>
    <w:uiPriority w:val="99"/>
    <w:locked/>
    <w:rsid w:val="00110321"/>
    <w:rPr>
      <w:sz w:val="24"/>
      <w:szCs w:val="24"/>
    </w:rPr>
  </w:style>
  <w:style w:type="character" w:customStyle="1" w:styleId="HeaderChar">
    <w:name w:val="Header Char"/>
    <w:link w:val="Header"/>
    <w:uiPriority w:val="99"/>
    <w:locked/>
    <w:rsid w:val="00110321"/>
    <w:rPr>
      <w:sz w:val="24"/>
      <w:szCs w:val="24"/>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customStyle="1" w:styleId="ColorfulList-Accent11">
    <w:name w:val="Colorful List - Accent 11"/>
    <w:basedOn w:val="Normal"/>
    <w:autoRedefine/>
    <w:uiPriority w:val="34"/>
    <w:qFormat/>
    <w:rsid w:val="00693747"/>
    <w:pPr>
      <w:numPr>
        <w:numId w:val="26"/>
      </w:numPr>
      <w:spacing w:after="200" w:line="276" w:lineRule="auto"/>
      <w:ind w:left="450" w:hanging="450"/>
      <w:contextualSpacing/>
    </w:pPr>
    <w:rPr>
      <w:sz w:val="22"/>
      <w:szCs w:val="18"/>
      <w:lang w:val="en-GB"/>
    </w:rPr>
  </w:style>
  <w:style w:type="character" w:customStyle="1" w:styleId="MainParanoChapterChar">
    <w:name w:val="Main Para no Chapter # Char"/>
    <w:link w:val="MainParanoChapter"/>
    <w:uiPriority w:val="99"/>
    <w:locked/>
    <w:rsid w:val="00110321"/>
    <w:rPr>
      <w:color w:val="000000"/>
      <w:sz w:val="24"/>
      <w:szCs w:val="24"/>
    </w:rPr>
  </w:style>
  <w:style w:type="paragraph" w:customStyle="1" w:styleId="NoSpacing1">
    <w:name w:val="No Spacing1"/>
    <w:uiPriority w:val="1"/>
    <w:qFormat/>
    <w:rsid w:val="00110321"/>
    <w:rPr>
      <w:rFonts w:ascii="Calibri" w:hAnsi="Calibri"/>
      <w:sz w:val="22"/>
      <w:szCs w:val="22"/>
    </w:rPr>
  </w:style>
  <w:style w:type="character" w:customStyle="1" w:styleId="Heading2Char">
    <w:name w:val="Heading 2 Char"/>
    <w:link w:val="Heading2"/>
    <w:rsid w:val="00E7604E"/>
    <w:rPr>
      <w:i/>
      <w:iCs/>
      <w:sz w:val="24"/>
      <w:szCs w:val="24"/>
    </w:rPr>
  </w:style>
  <w:style w:type="character" w:styleId="CommentReference">
    <w:name w:val="annotation reference"/>
    <w:rsid w:val="00E7604E"/>
    <w:rPr>
      <w:sz w:val="16"/>
      <w:szCs w:val="16"/>
    </w:rPr>
  </w:style>
  <w:style w:type="paragraph" w:styleId="CommentText">
    <w:name w:val="annotation text"/>
    <w:basedOn w:val="Normal"/>
    <w:link w:val="CommentTextChar"/>
    <w:rsid w:val="00E7604E"/>
    <w:rPr>
      <w:sz w:val="20"/>
      <w:szCs w:val="20"/>
    </w:rPr>
  </w:style>
  <w:style w:type="character" w:customStyle="1" w:styleId="CommentTextChar">
    <w:name w:val="Comment Text Char"/>
    <w:basedOn w:val="DefaultParagraphFont"/>
    <w:link w:val="CommentText"/>
    <w:rsid w:val="00E7604E"/>
  </w:style>
  <w:style w:type="paragraph" w:styleId="CommentSubject">
    <w:name w:val="annotation subject"/>
    <w:basedOn w:val="CommentText"/>
    <w:next w:val="CommentText"/>
    <w:link w:val="CommentSubjectChar"/>
    <w:rsid w:val="00E7604E"/>
    <w:rPr>
      <w:b/>
      <w:bCs/>
    </w:rPr>
  </w:style>
  <w:style w:type="character" w:customStyle="1" w:styleId="CommentSubjectChar">
    <w:name w:val="Comment Subject Char"/>
    <w:link w:val="CommentSubject"/>
    <w:rsid w:val="00E7604E"/>
    <w:rPr>
      <w:b/>
      <w:bCs/>
    </w:rPr>
  </w:style>
  <w:style w:type="character" w:customStyle="1" w:styleId="BalloonTextChar">
    <w:name w:val="Balloon Text Char"/>
    <w:link w:val="BalloonText"/>
    <w:uiPriority w:val="99"/>
    <w:semiHidden/>
    <w:rsid w:val="003729CF"/>
    <w:rPr>
      <w:rFonts w:ascii="Tahoma" w:hAnsi="Tahoma" w:cs="Tahoma"/>
      <w:sz w:val="16"/>
      <w:szCs w:val="16"/>
    </w:rPr>
  </w:style>
  <w:style w:type="paragraph" w:customStyle="1" w:styleId="Default">
    <w:name w:val="Default"/>
    <w:rsid w:val="00D156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C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document/GEF5-Template%20Reference%20Guide%209-14-10rev11-1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RAMON\Forms\Project%20Executive%20Summa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41003-3160-FC4B-A36C-8DA9E60CECC7}"/>
</file>

<file path=customXml/itemProps2.xml><?xml version="1.0" encoding="utf-8"?>
<ds:datastoreItem xmlns:ds="http://schemas.openxmlformats.org/officeDocument/2006/customXml" ds:itemID="{CB23D5BC-CBB6-4201-AC27-ECDC039DB8AD}"/>
</file>

<file path=customXml/itemProps3.xml><?xml version="1.0" encoding="utf-8"?>
<ds:datastoreItem xmlns:ds="http://schemas.openxmlformats.org/officeDocument/2006/customXml" ds:itemID="{948AAFE3-CC76-4A8F-85CE-C27DEA64B7DA}"/>
</file>

<file path=customXml/itemProps4.xml><?xml version="1.0" encoding="utf-8"?>
<ds:datastoreItem xmlns:ds="http://schemas.openxmlformats.org/officeDocument/2006/customXml" ds:itemID="{00D5CC3F-8C5E-40BD-A1BD-725A11BD147F}"/>
</file>

<file path=docProps/app.xml><?xml version="1.0" encoding="utf-8"?>
<Properties xmlns="http://schemas.openxmlformats.org/officeDocument/2006/extended-properties" xmlns:vt="http://schemas.openxmlformats.org/officeDocument/2006/docPropsVTypes">
  <Template>\RAMON\Forms\Project Executive Summary Template.dot</Template>
  <TotalTime>0</TotalTime>
  <Pages>14</Pages>
  <Words>3619</Words>
  <Characters>33766</Characters>
  <Application>Microsoft Macintosh Word</Application>
  <DocSecurity>0</DocSecurity>
  <Lines>6753</Lines>
  <Paragraphs>3738</Paragraphs>
  <ScaleCrop>false</ScaleCrop>
  <HeadingPairs>
    <vt:vector size="2" baseType="variant">
      <vt:variant>
        <vt:lpstr>Title</vt:lpstr>
      </vt:variant>
      <vt:variant>
        <vt:i4>1</vt:i4>
      </vt:variant>
    </vt:vector>
  </HeadingPairs>
  <TitlesOfParts>
    <vt:vector size="1" baseType="lpstr">
      <vt:lpstr>FINANCING PLAN (IN US$):</vt:lpstr>
    </vt:vector>
  </TitlesOfParts>
  <Company>World Bank Group</Company>
  <LinksUpToDate>false</LinksUpToDate>
  <CharactersWithSpaces>33647</CharactersWithSpaces>
  <SharedDoc>false</SharedDoc>
  <HLinks>
    <vt:vector size="6" baseType="variant">
      <vt:variant>
        <vt:i4>6357090</vt:i4>
      </vt:variant>
      <vt:variant>
        <vt:i4>0</vt:i4>
      </vt:variant>
      <vt:variant>
        <vt:i4>0</vt:i4>
      </vt:variant>
      <vt:variant>
        <vt:i4>5</vt:i4>
      </vt:variant>
      <vt:variant>
        <vt:lpwstr>http://www.thegef.org/gef/sites/thegef.org/files/documents/document/GEF5-Template Reference Guide 9-14-10rev11-18-2010.doc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PLAN (IN US$):</dc:title>
  <dc:creator>Ramon Prudencio C. de Mesa</dc:creator>
  <cp:lastModifiedBy>Marina Olshanskaya</cp:lastModifiedBy>
  <cp:revision>2</cp:revision>
  <cp:lastPrinted>2013-01-21T16:16:00Z</cp:lastPrinted>
  <dcterms:created xsi:type="dcterms:W3CDTF">2014-04-23T08:38:00Z</dcterms:created>
  <dcterms:modified xsi:type="dcterms:W3CDTF">2014-04-23T08:38:00Z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210833878</vt:i4>
  </property>
</Properties>
</file>